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19759" w14:textId="7D6D7BD2" w:rsidR="0025778A" w:rsidRPr="005A6268" w:rsidRDefault="0025778A" w:rsidP="001C09BE">
      <w:pPr>
        <w:spacing w:after="480" w:line="360" w:lineRule="auto"/>
        <w:jc w:val="both"/>
        <w:rPr>
          <w:rFonts w:ascii="Arial" w:hAnsi="Arial" w:cs="Arial"/>
          <w:b/>
          <w:bCs/>
          <w:sz w:val="36"/>
          <w:szCs w:val="36"/>
        </w:rPr>
      </w:pPr>
      <w:r w:rsidRPr="005A6268">
        <w:rPr>
          <w:rFonts w:ascii="Arial" w:hAnsi="Arial" w:cs="Arial"/>
          <w:b/>
          <w:bCs/>
          <w:sz w:val="36"/>
          <w:szCs w:val="36"/>
        </w:rPr>
        <w:t xml:space="preserve">Ćwiczenia do </w:t>
      </w:r>
      <w:r w:rsidR="009A510D" w:rsidRPr="005A6268">
        <w:rPr>
          <w:rFonts w:ascii="Arial" w:hAnsi="Arial" w:cs="Arial"/>
          <w:b/>
          <w:bCs/>
          <w:sz w:val="36"/>
          <w:szCs w:val="36"/>
        </w:rPr>
        <w:t>m</w:t>
      </w:r>
      <w:r w:rsidRPr="005A6268">
        <w:rPr>
          <w:rFonts w:ascii="Arial" w:hAnsi="Arial" w:cs="Arial"/>
          <w:b/>
          <w:bCs/>
          <w:sz w:val="36"/>
          <w:szCs w:val="36"/>
        </w:rPr>
        <w:t>odułów 1 i 2</w:t>
      </w:r>
    </w:p>
    <w:p w14:paraId="0FBAF6F1" w14:textId="69F82532" w:rsidR="00730088" w:rsidRPr="00812540" w:rsidRDefault="0025778A" w:rsidP="00812540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Ćwiczenie 1</w:t>
      </w:r>
    </w:p>
    <w:p w14:paraId="0B92B9BC" w14:textId="434AD1F5" w:rsidR="00B61F9E" w:rsidRPr="00812540" w:rsidRDefault="00B61F9E" w:rsidP="0025778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B61F9E">
        <w:rPr>
          <w:rFonts w:ascii="Arial" w:hAnsi="Arial" w:cs="Arial"/>
          <w:sz w:val="24"/>
          <w:szCs w:val="24"/>
        </w:rPr>
        <w:t>Przykład rozwiązania: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730088" w:rsidRPr="0025778A" w14:paraId="57AE1F0F" w14:textId="77777777" w:rsidTr="0001576C">
        <w:tc>
          <w:tcPr>
            <w:tcW w:w="1838" w:type="dxa"/>
            <w:vAlign w:val="center"/>
          </w:tcPr>
          <w:p w14:paraId="28A0BA48" w14:textId="77777777" w:rsidR="00B61F9E" w:rsidRPr="0025778A" w:rsidRDefault="00B61F9E" w:rsidP="00372574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Element procedury i regulaminu konsultacji publicznych</w:t>
            </w:r>
          </w:p>
        </w:tc>
        <w:tc>
          <w:tcPr>
            <w:tcW w:w="3544" w:type="dxa"/>
            <w:vAlign w:val="center"/>
          </w:tcPr>
          <w:p w14:paraId="39171D58" w14:textId="77777777" w:rsidR="00B61F9E" w:rsidRPr="0025778A" w:rsidRDefault="00B61F9E" w:rsidP="00372574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Propozycja</w:t>
            </w:r>
          </w:p>
        </w:tc>
        <w:tc>
          <w:tcPr>
            <w:tcW w:w="3680" w:type="dxa"/>
            <w:vAlign w:val="center"/>
          </w:tcPr>
          <w:p w14:paraId="46CD93DB" w14:textId="77777777" w:rsidR="00B61F9E" w:rsidRPr="0025778A" w:rsidRDefault="00B61F9E" w:rsidP="00372574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Uzasadnienie</w:t>
            </w:r>
          </w:p>
        </w:tc>
      </w:tr>
      <w:tr w:rsidR="00730088" w:rsidRPr="0025778A" w14:paraId="2EC68B55" w14:textId="77777777" w:rsidTr="0001576C">
        <w:tc>
          <w:tcPr>
            <w:tcW w:w="1838" w:type="dxa"/>
          </w:tcPr>
          <w:p w14:paraId="4DEA6EDF" w14:textId="77777777" w:rsidR="00B61F9E" w:rsidRPr="0025778A" w:rsidRDefault="00B61F9E" w:rsidP="00372574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podstawa prawna konsultacji</w:t>
            </w:r>
          </w:p>
        </w:tc>
        <w:tc>
          <w:tcPr>
            <w:tcW w:w="3544" w:type="dxa"/>
          </w:tcPr>
          <w:p w14:paraId="68C881A8" w14:textId="5BCD4C49" w:rsidR="00B61F9E" w:rsidRPr="00D73CA0" w:rsidRDefault="0001576C" w:rsidP="00D73CA0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B61F9E" w:rsidRPr="00D73CA0">
              <w:rPr>
                <w:rFonts w:ascii="Arial" w:hAnsi="Arial" w:cs="Arial"/>
                <w:sz w:val="24"/>
                <w:szCs w:val="24"/>
              </w:rPr>
              <w:t>rt. 6 ustawy z dnia 6 grudnia 2006 r. o zasadach prowadzenia polityki rozwoju</w:t>
            </w:r>
            <w:r w:rsidR="00D73CA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AC347C" w14:textId="77777777" w:rsidR="00B61F9E" w:rsidRPr="00D73CA0" w:rsidRDefault="00B61F9E" w:rsidP="00D73CA0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14:paraId="2A6639DD" w14:textId="1D81393D" w:rsidR="00B61F9E" w:rsidRPr="00D73CA0" w:rsidRDefault="00FC56D4" w:rsidP="00D73CA0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Podstawą prawną przygotowania i przyjęcia strategii rozwoju kraju jest ustawa </w:t>
            </w:r>
            <w:r w:rsidR="00B61F9E" w:rsidRPr="00D73CA0">
              <w:rPr>
                <w:rFonts w:ascii="Arial" w:hAnsi="Arial" w:cs="Arial"/>
                <w:sz w:val="24"/>
                <w:szCs w:val="24"/>
              </w:rPr>
              <w:t>z dnia 6 grudnia 2006 r. o zasadach prowadzenia polityki rozwoju</w:t>
            </w:r>
            <w:r w:rsidR="00D73CA0">
              <w:rPr>
                <w:rFonts w:ascii="Arial" w:hAnsi="Arial" w:cs="Arial"/>
                <w:sz w:val="24"/>
                <w:szCs w:val="24"/>
              </w:rPr>
              <w:t xml:space="preserve">. Art. 6 </w:t>
            </w:r>
            <w:r>
              <w:rPr>
                <w:rFonts w:ascii="Arial" w:hAnsi="Arial" w:cs="Arial"/>
                <w:sz w:val="24"/>
                <w:szCs w:val="24"/>
              </w:rPr>
              <w:t xml:space="preserve">tej ustawy nakłada </w:t>
            </w:r>
            <w:r w:rsidR="00D73CA0">
              <w:rPr>
                <w:rFonts w:ascii="Arial" w:hAnsi="Arial" w:cs="Arial"/>
                <w:sz w:val="24"/>
                <w:szCs w:val="24"/>
              </w:rPr>
              <w:t>obowiąz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D73CA0">
              <w:rPr>
                <w:rFonts w:ascii="Arial" w:hAnsi="Arial" w:cs="Arial"/>
                <w:sz w:val="24"/>
                <w:szCs w:val="24"/>
              </w:rPr>
              <w:t>k konsultacji publicznych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projektów</w:t>
            </w:r>
            <w:r w:rsidR="00D73CA0">
              <w:rPr>
                <w:rFonts w:ascii="Arial" w:hAnsi="Arial" w:cs="Arial"/>
                <w:sz w:val="24"/>
                <w:szCs w:val="24"/>
              </w:rPr>
              <w:t xml:space="preserve"> strategii rozwoju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30088" w:rsidRPr="0025778A" w14:paraId="46D41A68" w14:textId="77777777" w:rsidTr="0001576C">
        <w:tc>
          <w:tcPr>
            <w:tcW w:w="1838" w:type="dxa"/>
          </w:tcPr>
          <w:p w14:paraId="11DC10A0" w14:textId="77777777" w:rsidR="00B61F9E" w:rsidRPr="0025778A" w:rsidRDefault="00B61F9E" w:rsidP="00372574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gospodarz konsultacji i koordynator konsultacji</w:t>
            </w:r>
          </w:p>
        </w:tc>
        <w:tc>
          <w:tcPr>
            <w:tcW w:w="3544" w:type="dxa"/>
          </w:tcPr>
          <w:p w14:paraId="42768E4F" w14:textId="453EADD6" w:rsidR="006E66DB" w:rsidRPr="00D73CA0" w:rsidRDefault="0001576C" w:rsidP="00D73CA0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6E66DB" w:rsidRPr="00D73CA0">
              <w:rPr>
                <w:rFonts w:ascii="Arial" w:hAnsi="Arial" w:cs="Arial"/>
                <w:sz w:val="24"/>
                <w:szCs w:val="24"/>
              </w:rPr>
              <w:t>ospodarz</w:t>
            </w:r>
            <w:r w:rsidR="00D73CA0">
              <w:rPr>
                <w:rFonts w:ascii="Arial" w:hAnsi="Arial" w:cs="Arial"/>
                <w:sz w:val="24"/>
                <w:szCs w:val="24"/>
              </w:rPr>
              <w:t>em</w:t>
            </w:r>
            <w:r w:rsidR="006E66DB" w:rsidRPr="00D73CA0">
              <w:rPr>
                <w:rFonts w:ascii="Arial" w:hAnsi="Arial" w:cs="Arial"/>
                <w:sz w:val="24"/>
                <w:szCs w:val="24"/>
              </w:rPr>
              <w:t xml:space="preserve"> konsultacji</w:t>
            </w:r>
            <w:r w:rsidR="00D73CA0">
              <w:rPr>
                <w:rFonts w:ascii="Arial" w:hAnsi="Arial" w:cs="Arial"/>
                <w:sz w:val="24"/>
                <w:szCs w:val="24"/>
              </w:rPr>
              <w:t xml:space="preserve"> jest</w:t>
            </w:r>
            <w:r w:rsidR="006E66DB" w:rsidRPr="00D73C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1F9E" w:rsidRPr="00D73CA0">
              <w:rPr>
                <w:rFonts w:ascii="Arial" w:hAnsi="Arial" w:cs="Arial"/>
                <w:sz w:val="24"/>
                <w:szCs w:val="24"/>
              </w:rPr>
              <w:t>Minister Kultury i Dziedzictwa Narodowego</w:t>
            </w:r>
            <w:r w:rsidR="00864B88">
              <w:rPr>
                <w:rFonts w:ascii="Arial" w:hAnsi="Arial" w:cs="Arial"/>
                <w:sz w:val="24"/>
                <w:szCs w:val="24"/>
              </w:rPr>
              <w:t xml:space="preserve"> (lub upoważniona przez niego osoba).</w:t>
            </w:r>
            <w:r w:rsidR="00FC56D4">
              <w:rPr>
                <w:rFonts w:ascii="Arial" w:hAnsi="Arial" w:cs="Arial"/>
                <w:sz w:val="24"/>
                <w:szCs w:val="24"/>
              </w:rPr>
              <w:t xml:space="preserve"> K</w:t>
            </w:r>
            <w:r w:rsidR="00D73CA0">
              <w:rPr>
                <w:rFonts w:ascii="Arial" w:hAnsi="Arial" w:cs="Arial"/>
                <w:sz w:val="24"/>
                <w:szCs w:val="24"/>
              </w:rPr>
              <w:t xml:space="preserve">oordynatorem konsultacji </w:t>
            </w:r>
            <w:r w:rsidR="00FC56D4">
              <w:rPr>
                <w:rFonts w:ascii="Arial" w:hAnsi="Arial" w:cs="Arial"/>
                <w:sz w:val="24"/>
                <w:szCs w:val="24"/>
              </w:rPr>
              <w:t xml:space="preserve">może być </w:t>
            </w:r>
            <w:r w:rsidR="00D73CA0">
              <w:rPr>
                <w:rFonts w:ascii="Arial" w:hAnsi="Arial" w:cs="Arial"/>
                <w:sz w:val="24"/>
                <w:szCs w:val="24"/>
              </w:rPr>
              <w:t xml:space="preserve">albo </w:t>
            </w:r>
            <w:r w:rsidR="006E66DB" w:rsidRPr="00D73CA0">
              <w:rPr>
                <w:rFonts w:ascii="Arial" w:hAnsi="Arial" w:cs="Arial"/>
                <w:sz w:val="24"/>
                <w:szCs w:val="24"/>
              </w:rPr>
              <w:t>departament</w:t>
            </w:r>
            <w:r w:rsidR="00D73C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66DB" w:rsidRPr="00D73CA0">
              <w:rPr>
                <w:rFonts w:ascii="Arial" w:hAnsi="Arial" w:cs="Arial"/>
                <w:sz w:val="24"/>
                <w:szCs w:val="24"/>
              </w:rPr>
              <w:t>M</w:t>
            </w:r>
            <w:r w:rsidR="00864B88">
              <w:rPr>
                <w:rFonts w:ascii="Arial" w:hAnsi="Arial" w:cs="Arial"/>
                <w:sz w:val="24"/>
                <w:szCs w:val="24"/>
              </w:rPr>
              <w:t>Ki</w:t>
            </w:r>
            <w:r w:rsidR="006E66DB" w:rsidRPr="00D73CA0">
              <w:rPr>
                <w:rFonts w:ascii="Arial" w:hAnsi="Arial" w:cs="Arial"/>
                <w:sz w:val="24"/>
                <w:szCs w:val="24"/>
              </w:rPr>
              <w:t>DN</w:t>
            </w:r>
            <w:r w:rsidR="00FC56D4">
              <w:rPr>
                <w:rFonts w:ascii="Arial" w:hAnsi="Arial" w:cs="Arial"/>
                <w:sz w:val="24"/>
                <w:szCs w:val="24"/>
              </w:rPr>
              <w:t>, który merytorycznie przygotował projekt strategii</w:t>
            </w:r>
            <w:r w:rsidR="00D73CA0">
              <w:rPr>
                <w:rFonts w:ascii="Arial" w:hAnsi="Arial" w:cs="Arial"/>
                <w:sz w:val="24"/>
                <w:szCs w:val="24"/>
              </w:rPr>
              <w:t xml:space="preserve"> albo departament odpowiedzialny za prowadzenie konsultacji</w:t>
            </w:r>
            <w:r w:rsidR="00864B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593E51C7" w14:textId="10FBA97D" w:rsidR="0045472F" w:rsidRPr="00D73CA0" w:rsidRDefault="00B61F9E" w:rsidP="00D73CA0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D73CA0">
              <w:rPr>
                <w:rFonts w:ascii="Arial" w:hAnsi="Arial" w:cs="Arial"/>
                <w:sz w:val="24"/>
                <w:szCs w:val="24"/>
              </w:rPr>
              <w:t>Minister Kultury i Dziedzictwa Narodowego odpowiada za przygotowanie projektu strategii</w:t>
            </w:r>
            <w:r w:rsidR="0045472F">
              <w:rPr>
                <w:rFonts w:ascii="Arial" w:hAnsi="Arial" w:cs="Arial"/>
                <w:sz w:val="24"/>
                <w:szCs w:val="24"/>
              </w:rPr>
              <w:t xml:space="preserve"> jest więc gospodarzem konsultacji. Personalnie może to być również osoba upoważniona przez Ministra, najczęściej inny członek kierownictwa Ministerstwa.</w:t>
            </w:r>
            <w:r w:rsidR="00D73CA0">
              <w:rPr>
                <w:rFonts w:ascii="Arial" w:hAnsi="Arial" w:cs="Arial"/>
                <w:sz w:val="24"/>
                <w:szCs w:val="24"/>
              </w:rPr>
              <w:t xml:space="preserve"> Konsultacje powinien koordynować departament, który merytorycznie przygotował projekt lub departament </w:t>
            </w:r>
            <w:r w:rsidR="00D73CA0">
              <w:rPr>
                <w:rFonts w:ascii="Arial" w:hAnsi="Arial" w:cs="Arial"/>
                <w:sz w:val="24"/>
                <w:szCs w:val="24"/>
              </w:rPr>
              <w:lastRenderedPageBreak/>
              <w:t>odpowiadający za prowadzenie konsultacji publicznych, jeżeli jest taki w strukturze Ministerstwa (w rzeczywistości takiego departamentu nie ma i</w:t>
            </w:r>
            <w:r w:rsidR="00D01705">
              <w:rPr>
                <w:rFonts w:ascii="Arial" w:hAnsi="Arial" w:cs="Arial"/>
                <w:sz w:val="24"/>
                <w:szCs w:val="24"/>
              </w:rPr>
              <w:t> </w:t>
            </w:r>
            <w:r w:rsidR="00D73CA0">
              <w:rPr>
                <w:rFonts w:ascii="Arial" w:hAnsi="Arial" w:cs="Arial"/>
                <w:sz w:val="24"/>
                <w:szCs w:val="24"/>
              </w:rPr>
              <w:t xml:space="preserve">za konsultacje </w:t>
            </w:r>
            <w:r w:rsidR="00FC56D4">
              <w:rPr>
                <w:rFonts w:ascii="Arial" w:hAnsi="Arial" w:cs="Arial"/>
                <w:sz w:val="24"/>
                <w:szCs w:val="24"/>
              </w:rPr>
              <w:t xml:space="preserve">w Ministerstwie Kultury i Dziedzictwa Narodowego </w:t>
            </w:r>
            <w:r w:rsidR="00D73CA0">
              <w:rPr>
                <w:rFonts w:ascii="Arial" w:hAnsi="Arial" w:cs="Arial"/>
                <w:sz w:val="24"/>
                <w:szCs w:val="24"/>
              </w:rPr>
              <w:t>odpowiadają departamenty merytoryczne).</w:t>
            </w:r>
          </w:p>
        </w:tc>
      </w:tr>
      <w:tr w:rsidR="00730088" w:rsidRPr="0025778A" w14:paraId="1F87CEBB" w14:textId="77777777" w:rsidTr="0001576C">
        <w:tc>
          <w:tcPr>
            <w:tcW w:w="1838" w:type="dxa"/>
          </w:tcPr>
          <w:p w14:paraId="5205DCD3" w14:textId="77777777" w:rsidR="00B61F9E" w:rsidRPr="0025778A" w:rsidRDefault="00B61F9E" w:rsidP="00372574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lastRenderedPageBreak/>
              <w:t>cele konsultacji i sposób wykorzystania wyników konsultacji</w:t>
            </w:r>
          </w:p>
        </w:tc>
        <w:tc>
          <w:tcPr>
            <w:tcW w:w="3544" w:type="dxa"/>
          </w:tcPr>
          <w:p w14:paraId="5CBE0D13" w14:textId="7CC78868" w:rsidR="00B61F9E" w:rsidRPr="00730088" w:rsidRDefault="00FC56D4" w:rsidP="0073008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Uczestnicy mogą proponować różne cele i sposoby wykorzystania wyników konsultacji</w:t>
            </w:r>
            <w:r w:rsidR="00D01705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W tym przykładzie trzy cele są </w:t>
            </w:r>
            <w:r w:rsidR="0001576C">
              <w:rPr>
                <w:rFonts w:ascii="Arial" w:hAnsi="Arial" w:cs="Arial"/>
                <w:sz w:val="24"/>
                <w:szCs w:val="24"/>
              </w:rPr>
              <w:t>szczególnie użyteczne:</w:t>
            </w:r>
          </w:p>
          <w:p w14:paraId="50EA571C" w14:textId="63F4F5FD" w:rsidR="001C30F9" w:rsidRPr="001C30F9" w:rsidRDefault="001C30F9" w:rsidP="00730088">
            <w:pPr>
              <w:pStyle w:val="Akapitzlist"/>
              <w:numPr>
                <w:ilvl w:val="0"/>
                <w:numId w:val="21"/>
              </w:numPr>
              <w:spacing w:after="120" w:line="360" w:lineRule="auto"/>
              <w:ind w:left="41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C30F9">
              <w:rPr>
                <w:rFonts w:ascii="Arial" w:hAnsi="Arial" w:cs="Arial"/>
                <w:sz w:val="24"/>
                <w:szCs w:val="24"/>
              </w:rPr>
              <w:t xml:space="preserve">udoskonalenie propozycji </w:t>
            </w:r>
            <w:r>
              <w:rPr>
                <w:rFonts w:ascii="Arial" w:hAnsi="Arial" w:cs="Arial"/>
                <w:sz w:val="24"/>
                <w:szCs w:val="24"/>
              </w:rPr>
              <w:t>zawartych w projekcie strategii</w:t>
            </w:r>
            <w:r w:rsidRPr="001C30F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91CA596" w14:textId="38640134" w:rsidR="001C30F9" w:rsidRPr="001C30F9" w:rsidRDefault="001C30F9" w:rsidP="00730088">
            <w:pPr>
              <w:pStyle w:val="Akapitzlist"/>
              <w:numPr>
                <w:ilvl w:val="0"/>
                <w:numId w:val="21"/>
              </w:numPr>
              <w:spacing w:after="120" w:line="360" w:lineRule="auto"/>
              <w:ind w:left="41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C30F9">
              <w:rPr>
                <w:rFonts w:ascii="Arial" w:hAnsi="Arial" w:cs="Arial"/>
                <w:sz w:val="24"/>
                <w:szCs w:val="24"/>
              </w:rPr>
              <w:t xml:space="preserve">przekazanie interesariuszom informacji </w:t>
            </w:r>
            <w:r>
              <w:rPr>
                <w:rFonts w:ascii="Arial" w:hAnsi="Arial" w:cs="Arial"/>
                <w:sz w:val="24"/>
                <w:szCs w:val="24"/>
              </w:rPr>
              <w:t xml:space="preserve">o kierunkach </w:t>
            </w:r>
            <w:r w:rsidR="00730088">
              <w:rPr>
                <w:rFonts w:ascii="Arial" w:hAnsi="Arial" w:cs="Arial"/>
                <w:sz w:val="24"/>
                <w:szCs w:val="24"/>
              </w:rPr>
              <w:t>działań zawartych w projekcie strategii,</w:t>
            </w:r>
          </w:p>
          <w:p w14:paraId="03DDF09A" w14:textId="77777777" w:rsidR="00730088" w:rsidRDefault="001C30F9" w:rsidP="00730088">
            <w:pPr>
              <w:pStyle w:val="Akapitzlist"/>
              <w:numPr>
                <w:ilvl w:val="0"/>
                <w:numId w:val="21"/>
              </w:numPr>
              <w:spacing w:after="120" w:line="360" w:lineRule="auto"/>
              <w:ind w:left="41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C30F9">
              <w:rPr>
                <w:rFonts w:ascii="Arial" w:hAnsi="Arial" w:cs="Arial"/>
                <w:sz w:val="24"/>
                <w:szCs w:val="24"/>
              </w:rPr>
              <w:t>pozyskanie społecznego zrozumienia i akceptacji dla propozycji</w:t>
            </w:r>
            <w:r w:rsidR="00730088">
              <w:rPr>
                <w:rFonts w:ascii="Arial" w:hAnsi="Arial" w:cs="Arial"/>
                <w:sz w:val="24"/>
                <w:szCs w:val="24"/>
              </w:rPr>
              <w:t xml:space="preserve"> zawartych w projekcie strategii,</w:t>
            </w:r>
          </w:p>
          <w:p w14:paraId="1B5B5BFC" w14:textId="77777777" w:rsidR="00730088" w:rsidRPr="00730088" w:rsidRDefault="00730088" w:rsidP="00730088">
            <w:pPr>
              <w:spacing w:after="120" w:line="360" w:lineRule="auto"/>
              <w:ind w:left="54"/>
              <w:rPr>
                <w:rFonts w:ascii="Arial" w:hAnsi="Arial" w:cs="Arial"/>
                <w:sz w:val="24"/>
                <w:szCs w:val="24"/>
              </w:rPr>
            </w:pPr>
            <w:r w:rsidRPr="00730088">
              <w:rPr>
                <w:rFonts w:ascii="Arial" w:hAnsi="Arial" w:cs="Arial"/>
                <w:sz w:val="24"/>
                <w:szCs w:val="24"/>
              </w:rPr>
              <w:t>i adekwatne do nich sposoby wykorzystania wyników konsultacji:</w:t>
            </w:r>
          </w:p>
          <w:p w14:paraId="4E9143BA" w14:textId="1248CB32" w:rsidR="00730088" w:rsidRDefault="00730088" w:rsidP="00730088">
            <w:pPr>
              <w:pStyle w:val="Akapitzlist"/>
              <w:numPr>
                <w:ilvl w:val="0"/>
                <w:numId w:val="21"/>
              </w:numPr>
              <w:spacing w:after="120" w:line="360" w:lineRule="auto"/>
              <w:ind w:left="414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dopracowanie, udoskonalenie projektu strategii,</w:t>
            </w:r>
          </w:p>
          <w:p w14:paraId="45F56AB6" w14:textId="69A003EC" w:rsidR="00730088" w:rsidRPr="00730088" w:rsidRDefault="00730088" w:rsidP="00730088">
            <w:pPr>
              <w:pStyle w:val="Akapitzlist"/>
              <w:numPr>
                <w:ilvl w:val="0"/>
                <w:numId w:val="21"/>
              </w:numPr>
              <w:spacing w:after="120" w:line="360" w:lineRule="auto"/>
              <w:ind w:left="41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730088">
              <w:rPr>
                <w:rFonts w:ascii="Arial" w:hAnsi="Arial" w:cs="Arial"/>
                <w:sz w:val="24"/>
                <w:szCs w:val="24"/>
              </w:rPr>
              <w:t>pozyskani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730088">
              <w:rPr>
                <w:rFonts w:ascii="Arial" w:hAnsi="Arial" w:cs="Arial"/>
                <w:sz w:val="24"/>
                <w:szCs w:val="24"/>
              </w:rPr>
              <w:t xml:space="preserve"> wśród interesariuszy sojuszników na etapie wdrażania strategii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6C2A9F90" w14:textId="77777777" w:rsidR="0045472F" w:rsidRDefault="0001576C" w:rsidP="0073008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730088" w:rsidRPr="00730088">
              <w:rPr>
                <w:rFonts w:ascii="Arial" w:hAnsi="Arial" w:cs="Arial"/>
                <w:sz w:val="24"/>
                <w:szCs w:val="24"/>
              </w:rPr>
              <w:t>e trzy cele wydają się w tym przypadku najważniejsze</w:t>
            </w:r>
            <w:r w:rsidR="00730088">
              <w:rPr>
                <w:rFonts w:ascii="Arial" w:hAnsi="Arial" w:cs="Arial"/>
                <w:sz w:val="24"/>
                <w:szCs w:val="24"/>
              </w:rPr>
              <w:t>,</w:t>
            </w:r>
            <w:r w:rsidR="00730088" w:rsidRPr="00730088">
              <w:rPr>
                <w:rFonts w:ascii="Arial" w:hAnsi="Arial" w:cs="Arial"/>
                <w:sz w:val="24"/>
                <w:szCs w:val="24"/>
              </w:rPr>
              <w:t xml:space="preserve"> ponieważ projekt jest wynikiem prac, w których korzystano z wiedzy i opinii </w:t>
            </w:r>
            <w:r w:rsidR="00730088">
              <w:rPr>
                <w:rFonts w:ascii="Arial" w:hAnsi="Arial" w:cs="Arial"/>
                <w:sz w:val="24"/>
                <w:szCs w:val="24"/>
              </w:rPr>
              <w:t>kluczowych</w:t>
            </w:r>
            <w:r w:rsidR="00730088" w:rsidRPr="00730088">
              <w:rPr>
                <w:rFonts w:ascii="Arial" w:hAnsi="Arial" w:cs="Arial"/>
                <w:sz w:val="24"/>
                <w:szCs w:val="24"/>
              </w:rPr>
              <w:t xml:space="preserve"> interesariuszy</w:t>
            </w:r>
            <w:r w:rsidR="00730088">
              <w:rPr>
                <w:rFonts w:ascii="Arial" w:hAnsi="Arial" w:cs="Arial"/>
                <w:sz w:val="24"/>
                <w:szCs w:val="24"/>
              </w:rPr>
              <w:t>. W</w:t>
            </w:r>
            <w:r w:rsidR="00730088" w:rsidRPr="00730088">
              <w:rPr>
                <w:rFonts w:ascii="Arial" w:hAnsi="Arial" w:cs="Arial"/>
                <w:sz w:val="24"/>
                <w:szCs w:val="24"/>
              </w:rPr>
              <w:t xml:space="preserve"> oparciu</w:t>
            </w:r>
            <w:r w:rsidR="00730088">
              <w:rPr>
                <w:rFonts w:ascii="Arial" w:hAnsi="Arial" w:cs="Arial"/>
                <w:sz w:val="24"/>
                <w:szCs w:val="24"/>
              </w:rPr>
              <w:t xml:space="preserve"> o nie</w:t>
            </w:r>
            <w:r w:rsidR="00730088" w:rsidRPr="00730088">
              <w:rPr>
                <w:rFonts w:ascii="Arial" w:hAnsi="Arial" w:cs="Arial"/>
                <w:sz w:val="24"/>
                <w:szCs w:val="24"/>
              </w:rPr>
              <w:t xml:space="preserve"> przygotowany został projekt strategii. </w:t>
            </w:r>
          </w:p>
          <w:p w14:paraId="715A4E96" w14:textId="77777777" w:rsidR="00B61F9E" w:rsidRDefault="00730088" w:rsidP="0073008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30088">
              <w:rPr>
                <w:rFonts w:ascii="Arial" w:hAnsi="Arial" w:cs="Arial"/>
                <w:sz w:val="24"/>
                <w:szCs w:val="24"/>
              </w:rPr>
              <w:t>Na tym etapie chodzi więc głównie o udoskonalenie prz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730088">
              <w:rPr>
                <w:rFonts w:ascii="Arial" w:hAnsi="Arial" w:cs="Arial"/>
                <w:sz w:val="24"/>
                <w:szCs w:val="24"/>
              </w:rPr>
              <w:t>gotowanych propozycji oraz przekazanie interesariuszom informacji o kierunkach działań proponowanych w strategii, a także pozyskanie ich akceptacji dla</w:t>
            </w:r>
            <w:r>
              <w:rPr>
                <w:rFonts w:ascii="Arial" w:hAnsi="Arial" w:cs="Arial"/>
                <w:sz w:val="24"/>
                <w:szCs w:val="24"/>
              </w:rPr>
              <w:t xml:space="preserve"> strategii oraz wsparcia jej wdrażania.</w:t>
            </w:r>
          </w:p>
          <w:p w14:paraId="730B9CB5" w14:textId="5FBCF548" w:rsidR="00D01705" w:rsidRPr="00730088" w:rsidRDefault="00D01705" w:rsidP="0073008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 zwrócić uwagę na to, że sposoby wykorzystania wyników konsultacji muszą wynikać z przyjętych celów konsultacji.</w:t>
            </w:r>
          </w:p>
        </w:tc>
      </w:tr>
      <w:tr w:rsidR="00730088" w:rsidRPr="0025778A" w14:paraId="14295E5D" w14:textId="77777777" w:rsidTr="0001576C">
        <w:tc>
          <w:tcPr>
            <w:tcW w:w="1838" w:type="dxa"/>
          </w:tcPr>
          <w:p w14:paraId="3812A2E4" w14:textId="77777777" w:rsidR="00B61F9E" w:rsidRPr="0025778A" w:rsidRDefault="00B61F9E" w:rsidP="00372574">
            <w:pPr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lastRenderedPageBreak/>
              <w:t>kluczowi interesariusze</w:t>
            </w:r>
          </w:p>
        </w:tc>
        <w:tc>
          <w:tcPr>
            <w:tcW w:w="3544" w:type="dxa"/>
          </w:tcPr>
          <w:p w14:paraId="5989ABED" w14:textId="1D9913BF" w:rsidR="006E66DB" w:rsidRPr="001734BD" w:rsidRDefault="006E66DB" w:rsidP="00D73CA0">
            <w:pPr>
              <w:pStyle w:val="Akapitzlist"/>
              <w:numPr>
                <w:ilvl w:val="0"/>
                <w:numId w:val="19"/>
              </w:numPr>
              <w:spacing w:after="120" w:line="360" w:lineRule="auto"/>
              <w:ind w:left="371" w:hanging="37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4BD">
              <w:rPr>
                <w:rFonts w:ascii="Arial" w:hAnsi="Arial" w:cs="Arial"/>
                <w:sz w:val="24"/>
                <w:szCs w:val="24"/>
              </w:rPr>
              <w:t xml:space="preserve">zrzeszenia twórców, </w:t>
            </w:r>
            <w:r w:rsidR="00C51F10">
              <w:rPr>
                <w:rFonts w:ascii="Arial" w:hAnsi="Arial" w:cs="Arial"/>
                <w:sz w:val="24"/>
                <w:szCs w:val="24"/>
              </w:rPr>
              <w:t xml:space="preserve">organizacje </w:t>
            </w:r>
            <w:r w:rsidRPr="001734BD">
              <w:rPr>
                <w:rFonts w:ascii="Arial" w:hAnsi="Arial" w:cs="Arial"/>
                <w:sz w:val="24"/>
                <w:szCs w:val="24"/>
              </w:rPr>
              <w:t>reprezentujące instytucje kultury</w:t>
            </w:r>
            <w:r w:rsidR="001734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8E8AB9" w14:textId="707F7BDA" w:rsidR="006E66DB" w:rsidRPr="001734BD" w:rsidRDefault="006E66DB" w:rsidP="00D73CA0">
            <w:pPr>
              <w:pStyle w:val="Akapitzlist"/>
              <w:numPr>
                <w:ilvl w:val="0"/>
                <w:numId w:val="19"/>
              </w:numPr>
              <w:spacing w:after="120" w:line="360" w:lineRule="auto"/>
              <w:ind w:left="371" w:hanging="37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4BD">
              <w:rPr>
                <w:rFonts w:ascii="Arial" w:hAnsi="Arial" w:cs="Arial"/>
                <w:sz w:val="24"/>
                <w:szCs w:val="24"/>
              </w:rPr>
              <w:t xml:space="preserve">stowarzyszenia reprezentujące organizacje </w:t>
            </w:r>
            <w:r w:rsidR="00C51F10">
              <w:rPr>
                <w:rFonts w:ascii="Arial" w:hAnsi="Arial" w:cs="Arial"/>
                <w:sz w:val="24"/>
                <w:szCs w:val="24"/>
              </w:rPr>
              <w:t>pozarządowe</w:t>
            </w:r>
            <w:r w:rsidR="00D73CA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7B8B3D" w14:textId="05A9AE7F" w:rsidR="006E66DB" w:rsidRPr="001734BD" w:rsidRDefault="006E66DB" w:rsidP="00D73CA0">
            <w:pPr>
              <w:pStyle w:val="Akapitzlist"/>
              <w:numPr>
                <w:ilvl w:val="0"/>
                <w:numId w:val="19"/>
              </w:numPr>
              <w:spacing w:after="120" w:line="360" w:lineRule="auto"/>
              <w:ind w:left="371" w:hanging="37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34BD">
              <w:rPr>
                <w:rFonts w:ascii="Arial" w:hAnsi="Arial" w:cs="Arial"/>
                <w:sz w:val="24"/>
                <w:szCs w:val="24"/>
              </w:rPr>
              <w:t>związki pracodawców,</w:t>
            </w:r>
            <w:r w:rsidR="001734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734BD">
              <w:rPr>
                <w:rFonts w:ascii="Arial" w:hAnsi="Arial" w:cs="Arial"/>
                <w:sz w:val="24"/>
                <w:szCs w:val="24"/>
              </w:rPr>
              <w:t>związki zawodowe</w:t>
            </w:r>
            <w:r w:rsidR="00D73CA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FA02F7" w14:textId="58B6532A" w:rsidR="006E66DB" w:rsidRPr="001734BD" w:rsidRDefault="0001576C" w:rsidP="00D73CA0">
            <w:pPr>
              <w:pStyle w:val="Akapitzlist"/>
              <w:numPr>
                <w:ilvl w:val="0"/>
                <w:numId w:val="19"/>
              </w:numPr>
              <w:spacing w:after="120" w:line="360" w:lineRule="auto"/>
              <w:ind w:left="371" w:hanging="37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D73CA0">
              <w:rPr>
                <w:rFonts w:ascii="Arial" w:hAnsi="Arial" w:cs="Arial"/>
                <w:sz w:val="24"/>
                <w:szCs w:val="24"/>
              </w:rPr>
              <w:t>orporacje samorządowe</w:t>
            </w:r>
            <w:r w:rsidR="006E66DB" w:rsidRPr="001734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75C1441" w14:textId="77777777" w:rsidR="006E66DB" w:rsidRPr="001734BD" w:rsidRDefault="006E66DB" w:rsidP="00372574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C2236E4" w14:textId="77777777" w:rsidR="00B61F9E" w:rsidRPr="001734BD" w:rsidRDefault="00B61F9E" w:rsidP="00372574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14:paraId="4A3D3290" w14:textId="566C3E08" w:rsidR="00D73CA0" w:rsidRDefault="00D73CA0" w:rsidP="001C30F9">
            <w:pPr>
              <w:pStyle w:val="Akapitzlist"/>
              <w:numPr>
                <w:ilvl w:val="0"/>
                <w:numId w:val="20"/>
              </w:numPr>
              <w:spacing w:after="120" w:line="360" w:lineRule="auto"/>
              <w:ind w:left="3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6E66DB" w:rsidRPr="00D73CA0">
              <w:rPr>
                <w:rFonts w:ascii="Arial" w:hAnsi="Arial" w:cs="Arial"/>
                <w:sz w:val="24"/>
                <w:szCs w:val="24"/>
              </w:rPr>
              <w:t>trategia dotyczy przede wszystkim działalności twórców i instytucji kultury</w:t>
            </w:r>
            <w:r w:rsidRPr="00D73CA0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6E66DB" w:rsidRPr="00D73C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CA7AD07" w14:textId="77777777" w:rsidR="00D73CA0" w:rsidRDefault="00D73CA0" w:rsidP="001C30F9">
            <w:pPr>
              <w:pStyle w:val="Akapitzlist"/>
              <w:numPr>
                <w:ilvl w:val="0"/>
                <w:numId w:val="20"/>
              </w:numPr>
              <w:spacing w:after="120" w:line="360" w:lineRule="auto"/>
              <w:ind w:left="3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6E66DB" w:rsidRPr="00D73CA0">
              <w:rPr>
                <w:rFonts w:ascii="Arial" w:hAnsi="Arial" w:cs="Arial"/>
                <w:sz w:val="24"/>
                <w:szCs w:val="24"/>
              </w:rPr>
              <w:t>trategia dotyczy również aktywności obywatelskiej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6FFD947" w14:textId="77777777" w:rsidR="00D73CA0" w:rsidRDefault="006E66DB" w:rsidP="001C30F9">
            <w:pPr>
              <w:pStyle w:val="Akapitzlist"/>
              <w:numPr>
                <w:ilvl w:val="0"/>
                <w:numId w:val="20"/>
              </w:numPr>
              <w:spacing w:after="120" w:line="360" w:lineRule="auto"/>
              <w:ind w:left="371"/>
              <w:rPr>
                <w:rFonts w:ascii="Arial" w:hAnsi="Arial" w:cs="Arial"/>
                <w:sz w:val="24"/>
                <w:szCs w:val="24"/>
              </w:rPr>
            </w:pPr>
            <w:r w:rsidRPr="00D73C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3CA0" w:rsidRPr="00D73CA0">
              <w:rPr>
                <w:rFonts w:ascii="Arial" w:hAnsi="Arial" w:cs="Arial"/>
                <w:sz w:val="24"/>
                <w:szCs w:val="24"/>
              </w:rPr>
              <w:t>s</w:t>
            </w:r>
            <w:r w:rsidRPr="00D73CA0">
              <w:rPr>
                <w:rFonts w:ascii="Arial" w:hAnsi="Arial" w:cs="Arial"/>
                <w:sz w:val="24"/>
                <w:szCs w:val="24"/>
              </w:rPr>
              <w:t xml:space="preserve">trategia dotyczy </w:t>
            </w:r>
            <w:r w:rsidR="00D73CA0" w:rsidRPr="00D73CA0">
              <w:rPr>
                <w:rFonts w:ascii="Arial" w:hAnsi="Arial" w:cs="Arial"/>
                <w:sz w:val="24"/>
                <w:szCs w:val="24"/>
              </w:rPr>
              <w:t>sfery gospodarczej.</w:t>
            </w:r>
          </w:p>
          <w:p w14:paraId="2A56ADF5" w14:textId="79188B81" w:rsidR="001734BD" w:rsidRPr="00D73CA0" w:rsidRDefault="00C51F10" w:rsidP="001C30F9">
            <w:pPr>
              <w:pStyle w:val="Akapitzlist"/>
              <w:numPr>
                <w:ilvl w:val="0"/>
                <w:numId w:val="20"/>
              </w:numPr>
              <w:spacing w:after="120" w:line="360" w:lineRule="auto"/>
              <w:ind w:left="3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1734BD" w:rsidRPr="00D73CA0">
              <w:rPr>
                <w:rFonts w:ascii="Arial" w:hAnsi="Arial" w:cs="Arial"/>
                <w:sz w:val="24"/>
                <w:szCs w:val="24"/>
              </w:rPr>
              <w:t>iele instytucji kultury, których dotyczy strategia prowadzonych jest przez jednostki samorządu terytorialnego</w:t>
            </w:r>
            <w:r w:rsidR="00D73CA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A0855E" w14:textId="10DE1FA4" w:rsidR="006E66DB" w:rsidRPr="001734BD" w:rsidRDefault="0001576C" w:rsidP="001C30F9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Należy zwrócić uwagę, że z</w:t>
            </w:r>
            <w:r w:rsidR="00D73CA0">
              <w:rPr>
                <w:rFonts w:ascii="Arial" w:hAnsi="Arial" w:cs="Arial"/>
                <w:sz w:val="24"/>
                <w:szCs w:val="24"/>
              </w:rPr>
              <w:t>godnie z zasadą reprezentacji kluczowymi interesariuszami są podmioty, które zrzeszają</w:t>
            </w:r>
            <w:r w:rsidR="00C51F10">
              <w:rPr>
                <w:rFonts w:ascii="Arial" w:hAnsi="Arial" w:cs="Arial"/>
                <w:sz w:val="24"/>
                <w:szCs w:val="24"/>
              </w:rPr>
              <w:t xml:space="preserve"> i/lub </w:t>
            </w:r>
            <w:r w:rsidR="00D73CA0">
              <w:rPr>
                <w:rFonts w:ascii="Arial" w:hAnsi="Arial" w:cs="Arial"/>
                <w:sz w:val="24"/>
                <w:szCs w:val="24"/>
              </w:rPr>
              <w:t xml:space="preserve">reprezentują </w:t>
            </w:r>
            <w:r>
              <w:rPr>
                <w:rFonts w:ascii="Arial" w:hAnsi="Arial" w:cs="Arial"/>
                <w:sz w:val="24"/>
                <w:szCs w:val="24"/>
              </w:rPr>
              <w:t xml:space="preserve">szersze środowiska </w:t>
            </w:r>
            <w:r w:rsidR="001C30F9">
              <w:rPr>
                <w:rFonts w:ascii="Arial" w:hAnsi="Arial" w:cs="Arial"/>
                <w:sz w:val="24"/>
                <w:szCs w:val="24"/>
              </w:rPr>
              <w:t xml:space="preserve">adresatów strategii. </w:t>
            </w:r>
            <w:r w:rsidR="00D01705">
              <w:rPr>
                <w:rFonts w:ascii="Arial" w:hAnsi="Arial" w:cs="Arial"/>
                <w:sz w:val="24"/>
                <w:szCs w:val="24"/>
              </w:rPr>
              <w:t xml:space="preserve">Jest to konieczne z uwagi na dużą liczbę tych adresatów, a jednocześnie możliwe do zastosowania ponieważ są organizacje, które zrzeszają i/lub reprezentują poszczególne </w:t>
            </w:r>
            <w:r w:rsidR="00D01705">
              <w:rPr>
                <w:rFonts w:ascii="Arial" w:hAnsi="Arial" w:cs="Arial"/>
                <w:sz w:val="24"/>
                <w:szCs w:val="24"/>
              </w:rPr>
              <w:lastRenderedPageBreak/>
              <w:t xml:space="preserve">środowiska, np. twórców, </w:t>
            </w:r>
            <w:r w:rsidR="008D6E9C">
              <w:rPr>
                <w:rFonts w:ascii="Arial" w:hAnsi="Arial" w:cs="Arial"/>
                <w:sz w:val="24"/>
                <w:szCs w:val="24"/>
              </w:rPr>
              <w:t>bibliotek, teatrów, muzeów, itp.</w:t>
            </w:r>
          </w:p>
        </w:tc>
      </w:tr>
    </w:tbl>
    <w:p w14:paraId="7C2A6779" w14:textId="01D09841" w:rsidR="00B61F9E" w:rsidRDefault="00B61F9E" w:rsidP="0025778A">
      <w:pPr>
        <w:spacing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A6D9C80" w14:textId="77777777" w:rsidR="00B61F9E" w:rsidRDefault="00B61F9E" w:rsidP="0025778A">
      <w:pPr>
        <w:spacing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4B63ABB" w14:textId="737AA64D" w:rsidR="00730088" w:rsidRPr="00C51F10" w:rsidRDefault="0025778A" w:rsidP="00812540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Ćwiczenie 2</w:t>
      </w:r>
      <w:r w:rsidR="009A510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BC3CD72" w14:textId="440129FD" w:rsidR="00730088" w:rsidRPr="00C51F10" w:rsidRDefault="00730088" w:rsidP="00812540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51F10">
        <w:rPr>
          <w:rFonts w:ascii="Arial" w:hAnsi="Arial" w:cs="Arial"/>
          <w:sz w:val="24"/>
          <w:szCs w:val="24"/>
        </w:rPr>
        <w:t>Przykład rozwiązania:</w:t>
      </w:r>
    </w:p>
    <w:p w14:paraId="7BB4A620" w14:textId="77777777" w:rsidR="00730088" w:rsidRDefault="00730088" w:rsidP="00730088">
      <w:pPr>
        <w:spacing w:after="120" w:line="360" w:lineRule="auto"/>
        <w:ind w:left="357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3822"/>
      </w:tblGrid>
      <w:tr w:rsidR="00730088" w:rsidRPr="0025778A" w14:paraId="41662AF6" w14:textId="77777777" w:rsidTr="003E28C4">
        <w:tc>
          <w:tcPr>
            <w:tcW w:w="2122" w:type="dxa"/>
            <w:vAlign w:val="center"/>
          </w:tcPr>
          <w:p w14:paraId="01E3E916" w14:textId="77777777" w:rsidR="00730088" w:rsidRPr="0025778A" w:rsidRDefault="00730088" w:rsidP="00372574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Element procedury i regulaminu konsultacji publicznych</w:t>
            </w:r>
          </w:p>
        </w:tc>
        <w:tc>
          <w:tcPr>
            <w:tcW w:w="3118" w:type="dxa"/>
            <w:vAlign w:val="center"/>
          </w:tcPr>
          <w:p w14:paraId="1F7190B0" w14:textId="77777777" w:rsidR="00730088" w:rsidRPr="0025778A" w:rsidRDefault="00730088" w:rsidP="00372574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Propozycja</w:t>
            </w:r>
          </w:p>
        </w:tc>
        <w:tc>
          <w:tcPr>
            <w:tcW w:w="3822" w:type="dxa"/>
            <w:vAlign w:val="center"/>
          </w:tcPr>
          <w:p w14:paraId="62C88368" w14:textId="77777777" w:rsidR="00730088" w:rsidRPr="0025778A" w:rsidRDefault="00730088" w:rsidP="00372574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Uzasadnienie</w:t>
            </w:r>
          </w:p>
        </w:tc>
      </w:tr>
      <w:tr w:rsidR="00730088" w:rsidRPr="0025778A" w14:paraId="2B61B58C" w14:textId="77777777" w:rsidTr="003E28C4">
        <w:trPr>
          <w:trHeight w:val="608"/>
        </w:trPr>
        <w:tc>
          <w:tcPr>
            <w:tcW w:w="2122" w:type="dxa"/>
          </w:tcPr>
          <w:p w14:paraId="078AF4B7" w14:textId="77777777" w:rsidR="00730088" w:rsidRPr="0025778A" w:rsidRDefault="00730088" w:rsidP="00372574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kluczowi interesariusze</w:t>
            </w:r>
          </w:p>
        </w:tc>
        <w:tc>
          <w:tcPr>
            <w:tcW w:w="3118" w:type="dxa"/>
          </w:tcPr>
          <w:p w14:paraId="28381D85" w14:textId="53781C98" w:rsidR="002E3159" w:rsidRPr="002E3159" w:rsidRDefault="002E3159" w:rsidP="002E3159">
            <w:pPr>
              <w:pStyle w:val="Akapitzlist"/>
              <w:numPr>
                <w:ilvl w:val="0"/>
                <w:numId w:val="23"/>
              </w:numPr>
              <w:spacing w:after="120" w:line="360" w:lineRule="auto"/>
              <w:ind w:left="312"/>
              <w:rPr>
                <w:rFonts w:ascii="Arial" w:hAnsi="Arial" w:cs="Arial"/>
                <w:sz w:val="24"/>
                <w:szCs w:val="24"/>
              </w:rPr>
            </w:pPr>
            <w:r w:rsidRPr="002E3159">
              <w:rPr>
                <w:rFonts w:ascii="Arial" w:hAnsi="Arial" w:cs="Arial"/>
                <w:sz w:val="24"/>
                <w:szCs w:val="24"/>
              </w:rPr>
              <w:t>osoby fizyczne – podatnicy PIT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D14313" w14:textId="45036AB1" w:rsidR="002E3159" w:rsidRPr="002E3159" w:rsidRDefault="002E3159" w:rsidP="002E3159">
            <w:pPr>
              <w:pStyle w:val="Akapitzlist"/>
              <w:numPr>
                <w:ilvl w:val="0"/>
                <w:numId w:val="23"/>
              </w:numPr>
              <w:spacing w:after="120" w:line="360" w:lineRule="auto"/>
              <w:ind w:left="312"/>
              <w:rPr>
                <w:rFonts w:ascii="Arial" w:hAnsi="Arial" w:cs="Arial"/>
                <w:sz w:val="24"/>
                <w:szCs w:val="24"/>
              </w:rPr>
            </w:pPr>
            <w:r w:rsidRPr="002E3159">
              <w:rPr>
                <w:rFonts w:ascii="Arial" w:hAnsi="Arial" w:cs="Arial"/>
                <w:sz w:val="24"/>
                <w:szCs w:val="24"/>
              </w:rPr>
              <w:t xml:space="preserve">stowarzyszenia </w:t>
            </w:r>
            <w:r w:rsidR="003E28C4">
              <w:rPr>
                <w:rFonts w:ascii="Arial" w:hAnsi="Arial" w:cs="Arial"/>
                <w:sz w:val="24"/>
                <w:szCs w:val="24"/>
              </w:rPr>
              <w:t>broniące interes</w:t>
            </w:r>
            <w:r w:rsidR="0045472F">
              <w:rPr>
                <w:rFonts w:ascii="Arial" w:hAnsi="Arial" w:cs="Arial"/>
                <w:sz w:val="24"/>
                <w:szCs w:val="24"/>
              </w:rPr>
              <w:t>ów</w:t>
            </w:r>
            <w:r w:rsidR="003E28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E3159">
              <w:rPr>
                <w:rFonts w:ascii="Arial" w:hAnsi="Arial" w:cs="Arial"/>
                <w:sz w:val="24"/>
                <w:szCs w:val="24"/>
              </w:rPr>
              <w:t>podatników PIT (np. Stowarzyszenie Podatników w Polsce, Stowarzyszenie Obrony Podatników)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06D583" w14:textId="4DFBB658" w:rsidR="002E3159" w:rsidRPr="002E3159" w:rsidRDefault="002E3159" w:rsidP="002E3159">
            <w:pPr>
              <w:pStyle w:val="Akapitzlist"/>
              <w:numPr>
                <w:ilvl w:val="0"/>
                <w:numId w:val="23"/>
              </w:numPr>
              <w:spacing w:after="120" w:line="360" w:lineRule="auto"/>
              <w:ind w:left="312"/>
              <w:rPr>
                <w:rFonts w:ascii="Arial" w:hAnsi="Arial" w:cs="Arial"/>
                <w:sz w:val="24"/>
                <w:szCs w:val="24"/>
              </w:rPr>
            </w:pPr>
            <w:r w:rsidRPr="002E3159">
              <w:rPr>
                <w:rFonts w:ascii="Arial" w:hAnsi="Arial" w:cs="Arial"/>
                <w:sz w:val="24"/>
                <w:szCs w:val="24"/>
              </w:rPr>
              <w:t>organizacje branżowe zajmujące się rozliczaniem podatku PIT (np. Stowarzyszenie Księgowych w Polsce, Krajowa Rada Doradców Podatkowych)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DABFAF" w14:textId="338D9C64" w:rsidR="00730088" w:rsidRPr="003E28C4" w:rsidRDefault="002E3159" w:rsidP="003E28C4">
            <w:pPr>
              <w:pStyle w:val="Akapitzlist"/>
              <w:numPr>
                <w:ilvl w:val="0"/>
                <w:numId w:val="23"/>
              </w:numPr>
              <w:spacing w:after="120" w:line="360" w:lineRule="auto"/>
              <w:ind w:left="312"/>
              <w:rPr>
                <w:rFonts w:ascii="Arial" w:hAnsi="Arial" w:cs="Arial"/>
                <w:sz w:val="24"/>
                <w:szCs w:val="24"/>
              </w:rPr>
            </w:pPr>
            <w:r w:rsidRPr="002E3159">
              <w:rPr>
                <w:rFonts w:ascii="Arial" w:hAnsi="Arial" w:cs="Arial"/>
                <w:sz w:val="24"/>
                <w:szCs w:val="24"/>
              </w:rPr>
              <w:lastRenderedPageBreak/>
              <w:t>Rada Dialogu Społecznego.</w:t>
            </w:r>
          </w:p>
        </w:tc>
        <w:tc>
          <w:tcPr>
            <w:tcW w:w="3822" w:type="dxa"/>
          </w:tcPr>
          <w:p w14:paraId="2366B055" w14:textId="045DD06A" w:rsidR="003E28C4" w:rsidRPr="003E28C4" w:rsidRDefault="003E28C4" w:rsidP="003E28C4">
            <w:pPr>
              <w:pStyle w:val="Akapitzlist"/>
              <w:numPr>
                <w:ilvl w:val="0"/>
                <w:numId w:val="25"/>
              </w:numPr>
              <w:spacing w:after="120" w:line="360" w:lineRule="auto"/>
              <w:ind w:left="3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z</w:t>
            </w:r>
            <w:r w:rsidRPr="003E28C4">
              <w:rPr>
                <w:rFonts w:ascii="Arial" w:hAnsi="Arial" w:cs="Arial"/>
                <w:sz w:val="24"/>
                <w:szCs w:val="24"/>
              </w:rPr>
              <w:t>miany dotyczą wszystkich osób fizycznych – podatników PIT</w:t>
            </w:r>
            <w:r>
              <w:rPr>
                <w:rFonts w:ascii="Arial" w:hAnsi="Arial" w:cs="Arial"/>
                <w:sz w:val="24"/>
                <w:szCs w:val="24"/>
              </w:rPr>
              <w:t xml:space="preserve">, nie można w tym przypadku zastosować zasady </w:t>
            </w:r>
            <w:r w:rsidR="0045472F">
              <w:rPr>
                <w:rFonts w:ascii="Arial" w:hAnsi="Arial" w:cs="Arial"/>
                <w:sz w:val="24"/>
                <w:szCs w:val="24"/>
              </w:rPr>
              <w:t>reprezentacji,</w:t>
            </w:r>
            <w:r>
              <w:rPr>
                <w:rFonts w:ascii="Arial" w:hAnsi="Arial" w:cs="Arial"/>
                <w:sz w:val="24"/>
                <w:szCs w:val="24"/>
              </w:rPr>
              <w:t xml:space="preserve"> ponieważ nie ma organizacji, które zrzeszałyby duże</w:t>
            </w:r>
            <w:r w:rsidR="00C51F10">
              <w:rPr>
                <w:rFonts w:ascii="Arial" w:hAnsi="Arial" w:cs="Arial"/>
                <w:sz w:val="24"/>
                <w:szCs w:val="24"/>
              </w:rPr>
              <w:t>, reprezentatywne</w:t>
            </w:r>
            <w:r>
              <w:rPr>
                <w:rFonts w:ascii="Arial" w:hAnsi="Arial" w:cs="Arial"/>
                <w:sz w:val="24"/>
                <w:szCs w:val="24"/>
              </w:rPr>
              <w:t xml:space="preserve"> grupy podatników.</w:t>
            </w:r>
          </w:p>
          <w:p w14:paraId="449B858E" w14:textId="65AA1B81" w:rsidR="003E28C4" w:rsidRDefault="008D6E9C" w:rsidP="003E28C4">
            <w:pPr>
              <w:pStyle w:val="Akapitzlist"/>
              <w:numPr>
                <w:ilvl w:val="0"/>
                <w:numId w:val="25"/>
              </w:numPr>
              <w:spacing w:after="120" w:line="360" w:lineRule="auto"/>
              <w:ind w:left="3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45472F">
              <w:rPr>
                <w:rFonts w:ascii="Arial" w:hAnsi="Arial" w:cs="Arial"/>
                <w:sz w:val="24"/>
                <w:szCs w:val="24"/>
              </w:rPr>
              <w:t xml:space="preserve">ą natomiast </w:t>
            </w:r>
            <w:r w:rsidR="003E28C4" w:rsidRPr="003E28C4">
              <w:rPr>
                <w:rFonts w:ascii="Arial" w:hAnsi="Arial" w:cs="Arial"/>
                <w:sz w:val="24"/>
                <w:szCs w:val="24"/>
              </w:rPr>
              <w:t>organizacj</w:t>
            </w:r>
            <w:r w:rsidR="0045472F">
              <w:rPr>
                <w:rFonts w:ascii="Arial" w:hAnsi="Arial" w:cs="Arial"/>
                <w:sz w:val="24"/>
                <w:szCs w:val="24"/>
              </w:rPr>
              <w:t>e</w:t>
            </w:r>
            <w:r w:rsidR="003E28C4" w:rsidRPr="003E28C4">
              <w:rPr>
                <w:rFonts w:ascii="Arial" w:hAnsi="Arial" w:cs="Arial"/>
                <w:sz w:val="24"/>
                <w:szCs w:val="24"/>
              </w:rPr>
              <w:t>, które co prawda nie</w:t>
            </w:r>
            <w:r>
              <w:rPr>
                <w:rFonts w:ascii="Arial" w:hAnsi="Arial" w:cs="Arial"/>
                <w:sz w:val="24"/>
                <w:szCs w:val="24"/>
              </w:rPr>
              <w:t xml:space="preserve"> są reprezentatywne dla wszystkich </w:t>
            </w:r>
            <w:r w:rsidR="00C51F10">
              <w:rPr>
                <w:rFonts w:ascii="Arial" w:hAnsi="Arial" w:cs="Arial"/>
                <w:sz w:val="24"/>
                <w:szCs w:val="24"/>
              </w:rPr>
              <w:t xml:space="preserve">podatników, ale </w:t>
            </w:r>
            <w:r w:rsidR="003E28C4" w:rsidRPr="003E28C4">
              <w:rPr>
                <w:rFonts w:ascii="Arial" w:hAnsi="Arial" w:cs="Arial"/>
                <w:sz w:val="24"/>
                <w:szCs w:val="24"/>
              </w:rPr>
              <w:t>starają się bronić ich interesów, w</w:t>
            </w:r>
            <w:r w:rsidR="00C51F10">
              <w:rPr>
                <w:rFonts w:ascii="Arial" w:hAnsi="Arial" w:cs="Arial"/>
                <w:sz w:val="24"/>
                <w:szCs w:val="24"/>
              </w:rPr>
              <w:t>arto więc skorzystać z ich wiedzy i doświadczeń</w:t>
            </w:r>
            <w:r w:rsidR="003E28C4" w:rsidRPr="003E28C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F818AB" w14:textId="4FBF53C9" w:rsidR="003E28C4" w:rsidRPr="003E28C4" w:rsidRDefault="008D6E9C" w:rsidP="003E28C4">
            <w:pPr>
              <w:pStyle w:val="Akapitzlist"/>
              <w:numPr>
                <w:ilvl w:val="0"/>
                <w:numId w:val="25"/>
              </w:numPr>
              <w:spacing w:after="120" w:line="360" w:lineRule="auto"/>
              <w:ind w:left="3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3E28C4" w:rsidRPr="003E28C4">
              <w:rPr>
                <w:rFonts w:ascii="Arial" w:hAnsi="Arial" w:cs="Arial"/>
                <w:sz w:val="24"/>
                <w:szCs w:val="24"/>
              </w:rPr>
              <w:t xml:space="preserve">pinie </w:t>
            </w:r>
            <w:r w:rsidR="003E28C4">
              <w:rPr>
                <w:rFonts w:ascii="Arial" w:hAnsi="Arial" w:cs="Arial"/>
                <w:sz w:val="24"/>
                <w:szCs w:val="24"/>
              </w:rPr>
              <w:t xml:space="preserve">organizacji zrzeszających </w:t>
            </w:r>
            <w:r w:rsidR="003E28C4" w:rsidRPr="003E28C4">
              <w:rPr>
                <w:rFonts w:ascii="Arial" w:hAnsi="Arial" w:cs="Arial"/>
                <w:sz w:val="24"/>
                <w:szCs w:val="24"/>
              </w:rPr>
              <w:t xml:space="preserve">ekspertów, </w:t>
            </w:r>
            <w:r w:rsidR="003E28C4" w:rsidRPr="003E28C4">
              <w:rPr>
                <w:rFonts w:ascii="Arial" w:hAnsi="Arial" w:cs="Arial"/>
                <w:sz w:val="24"/>
                <w:szCs w:val="24"/>
              </w:rPr>
              <w:lastRenderedPageBreak/>
              <w:t>którzy zajmują się rozliczaniem podatków</w:t>
            </w:r>
            <w:r w:rsidR="003E28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1F10">
              <w:rPr>
                <w:rFonts w:ascii="Arial" w:hAnsi="Arial" w:cs="Arial"/>
                <w:sz w:val="24"/>
                <w:szCs w:val="24"/>
              </w:rPr>
              <w:t xml:space="preserve">także </w:t>
            </w:r>
            <w:r w:rsidR="003E28C4">
              <w:rPr>
                <w:rFonts w:ascii="Arial" w:hAnsi="Arial" w:cs="Arial"/>
                <w:sz w:val="24"/>
                <w:szCs w:val="24"/>
              </w:rPr>
              <w:t>mogą być użyteczne.</w:t>
            </w:r>
          </w:p>
          <w:p w14:paraId="7AF8870B" w14:textId="288B84E4" w:rsidR="00730088" w:rsidRPr="003E28C4" w:rsidRDefault="008D6E9C" w:rsidP="003E28C4">
            <w:pPr>
              <w:pStyle w:val="Akapitzlist"/>
              <w:numPr>
                <w:ilvl w:val="0"/>
                <w:numId w:val="25"/>
              </w:numPr>
              <w:spacing w:after="120" w:line="360" w:lineRule="auto"/>
              <w:ind w:left="3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="003E28C4" w:rsidRPr="003E28C4">
              <w:rPr>
                <w:rFonts w:ascii="Arial" w:hAnsi="Arial" w:cs="Arial"/>
                <w:sz w:val="24"/>
                <w:szCs w:val="24"/>
              </w:rPr>
              <w:t>miany pośrednio dotyczą również</w:t>
            </w:r>
            <w:r w:rsidR="00C51F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28C4" w:rsidRPr="003E28C4">
              <w:rPr>
                <w:rFonts w:ascii="Arial" w:hAnsi="Arial" w:cs="Arial"/>
                <w:sz w:val="24"/>
                <w:szCs w:val="24"/>
              </w:rPr>
              <w:t>stosunków pracy, stąd skierowanie projektu do Rady Dialogu Społecznego, gdzie wypowiedzą się organizacje pracodawców i związki zawodowe.</w:t>
            </w:r>
          </w:p>
        </w:tc>
      </w:tr>
      <w:tr w:rsidR="00730088" w:rsidRPr="0025778A" w14:paraId="64FE99F0" w14:textId="77777777" w:rsidTr="003E28C4">
        <w:tc>
          <w:tcPr>
            <w:tcW w:w="2122" w:type="dxa"/>
          </w:tcPr>
          <w:p w14:paraId="5E7E7BC6" w14:textId="77777777" w:rsidR="00730088" w:rsidRPr="0025778A" w:rsidRDefault="00730088" w:rsidP="00372574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lastRenderedPageBreak/>
              <w:t>sposoby informowania o konsultacjach</w:t>
            </w:r>
          </w:p>
        </w:tc>
        <w:tc>
          <w:tcPr>
            <w:tcW w:w="3118" w:type="dxa"/>
          </w:tcPr>
          <w:p w14:paraId="7B807A18" w14:textId="3941C73B" w:rsidR="00730088" w:rsidRPr="003E28C4" w:rsidRDefault="003E28C4" w:rsidP="003E28C4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3E28C4">
              <w:rPr>
                <w:rFonts w:ascii="Arial" w:hAnsi="Arial" w:cs="Arial"/>
                <w:sz w:val="24"/>
                <w:szCs w:val="24"/>
              </w:rPr>
              <w:t>Przykładowe sposoby informowania</w:t>
            </w:r>
            <w:r w:rsidR="0045472F">
              <w:rPr>
                <w:rFonts w:ascii="Arial" w:hAnsi="Arial" w:cs="Arial"/>
                <w:sz w:val="24"/>
                <w:szCs w:val="24"/>
              </w:rPr>
              <w:t xml:space="preserve"> (uczestnicy mogą proponować także inne sposoby):</w:t>
            </w:r>
          </w:p>
          <w:p w14:paraId="0AD8EB13" w14:textId="0352E03F" w:rsidR="003E28C4" w:rsidRPr="003E28C4" w:rsidRDefault="003E28C4" w:rsidP="001A2587">
            <w:pPr>
              <w:pStyle w:val="Akapitzlist"/>
              <w:numPr>
                <w:ilvl w:val="0"/>
                <w:numId w:val="27"/>
              </w:numPr>
              <w:spacing w:after="120" w:line="360" w:lineRule="auto"/>
              <w:ind w:left="312"/>
              <w:rPr>
                <w:rFonts w:ascii="Arial" w:hAnsi="Arial" w:cs="Arial"/>
                <w:sz w:val="24"/>
                <w:szCs w:val="24"/>
              </w:rPr>
            </w:pPr>
            <w:r w:rsidRPr="003E28C4">
              <w:rPr>
                <w:rFonts w:ascii="Arial" w:hAnsi="Arial" w:cs="Arial"/>
                <w:sz w:val="24"/>
                <w:szCs w:val="24"/>
              </w:rPr>
              <w:t>Strona internetowa Ministerstwa Finansów</w:t>
            </w:r>
            <w:r w:rsidR="00C51F1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BEF139" w14:textId="1D718D22" w:rsidR="003E28C4" w:rsidRPr="003E28C4" w:rsidRDefault="003E28C4" w:rsidP="001A2587">
            <w:pPr>
              <w:pStyle w:val="Akapitzlist"/>
              <w:numPr>
                <w:ilvl w:val="0"/>
                <w:numId w:val="27"/>
              </w:numPr>
              <w:spacing w:after="120" w:line="360" w:lineRule="auto"/>
              <w:ind w:left="312"/>
              <w:rPr>
                <w:rFonts w:ascii="Arial" w:hAnsi="Arial" w:cs="Arial"/>
                <w:sz w:val="24"/>
                <w:szCs w:val="24"/>
              </w:rPr>
            </w:pPr>
            <w:r w:rsidRPr="003E28C4">
              <w:rPr>
                <w:rFonts w:ascii="Arial" w:hAnsi="Arial" w:cs="Arial"/>
                <w:sz w:val="24"/>
                <w:szCs w:val="24"/>
              </w:rPr>
              <w:t>Popularne media społecznościowe</w:t>
            </w:r>
            <w:r w:rsidR="00C51F1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38EFD3" w14:textId="28400654" w:rsidR="003E28C4" w:rsidRPr="003E28C4" w:rsidRDefault="003E28C4" w:rsidP="001A2587">
            <w:pPr>
              <w:pStyle w:val="Akapitzlist"/>
              <w:numPr>
                <w:ilvl w:val="0"/>
                <w:numId w:val="27"/>
              </w:numPr>
              <w:spacing w:after="120" w:line="360" w:lineRule="auto"/>
              <w:ind w:left="312"/>
              <w:rPr>
                <w:rFonts w:ascii="Arial" w:hAnsi="Arial" w:cs="Arial"/>
                <w:sz w:val="24"/>
                <w:szCs w:val="24"/>
              </w:rPr>
            </w:pPr>
            <w:r w:rsidRPr="003E28C4">
              <w:rPr>
                <w:rFonts w:ascii="Arial" w:hAnsi="Arial" w:cs="Arial"/>
                <w:sz w:val="24"/>
                <w:szCs w:val="24"/>
              </w:rPr>
              <w:t>Media tradycyjne (radio, telewizja, gazety)</w:t>
            </w:r>
            <w:r w:rsidR="00C51F1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5F3272" w14:textId="332E1D80" w:rsidR="006B15D4" w:rsidRPr="00C51F10" w:rsidRDefault="001A2587" w:rsidP="00C51F10">
            <w:pPr>
              <w:pStyle w:val="Akapitzlist"/>
              <w:numPr>
                <w:ilvl w:val="0"/>
                <w:numId w:val="27"/>
              </w:numPr>
              <w:spacing w:after="120" w:line="360" w:lineRule="auto"/>
              <w:ind w:left="3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E-maile</w:t>
            </w:r>
            <w:r w:rsidR="003E28C4" w:rsidRPr="003E28C4">
              <w:rPr>
                <w:rFonts w:ascii="Arial" w:hAnsi="Arial" w:cs="Arial"/>
                <w:sz w:val="24"/>
                <w:szCs w:val="24"/>
              </w:rPr>
              <w:t xml:space="preserve"> do organizacji – kluczowych interesariuszy.</w:t>
            </w:r>
          </w:p>
        </w:tc>
        <w:tc>
          <w:tcPr>
            <w:tcW w:w="3822" w:type="dxa"/>
          </w:tcPr>
          <w:p w14:paraId="7C37CD64" w14:textId="165694F8" w:rsidR="00730088" w:rsidRPr="001A2587" w:rsidRDefault="001A2587" w:rsidP="001A2587">
            <w:pPr>
              <w:pStyle w:val="Akapitzlist"/>
              <w:numPr>
                <w:ilvl w:val="0"/>
                <w:numId w:val="29"/>
              </w:num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1A2587">
              <w:rPr>
                <w:rFonts w:ascii="Arial" w:hAnsi="Arial" w:cs="Arial"/>
                <w:sz w:val="24"/>
                <w:szCs w:val="24"/>
              </w:rPr>
              <w:t>Standardowy sposób ogłaszania i prowadzenia konsultacji publicznych administracji publicznej</w:t>
            </w:r>
            <w:r w:rsidR="00C51F10">
              <w:rPr>
                <w:rFonts w:ascii="Arial" w:hAnsi="Arial" w:cs="Arial"/>
                <w:sz w:val="24"/>
                <w:szCs w:val="24"/>
              </w:rPr>
              <w:t>. W</w:t>
            </w:r>
            <w:r w:rsidR="0045472F">
              <w:rPr>
                <w:rFonts w:ascii="Arial" w:hAnsi="Arial" w:cs="Arial"/>
                <w:sz w:val="24"/>
                <w:szCs w:val="24"/>
              </w:rPr>
              <w:t> </w:t>
            </w:r>
            <w:r w:rsidR="00C51F10">
              <w:rPr>
                <w:rFonts w:ascii="Arial" w:hAnsi="Arial" w:cs="Arial"/>
                <w:sz w:val="24"/>
                <w:szCs w:val="24"/>
              </w:rPr>
              <w:t xml:space="preserve">przypadku Ministerstwa Finansów jest to zakładka „Konsultacje podatkowe” na stronie internetowej Ministerstwa. </w:t>
            </w:r>
          </w:p>
          <w:p w14:paraId="4247E786" w14:textId="4AED37C2" w:rsidR="001A2587" w:rsidRPr="001A2587" w:rsidRDefault="001A2587" w:rsidP="001A2587">
            <w:pPr>
              <w:pStyle w:val="Akapitzlist"/>
              <w:numPr>
                <w:ilvl w:val="0"/>
                <w:numId w:val="29"/>
              </w:num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1A2587">
              <w:rPr>
                <w:rFonts w:ascii="Arial" w:hAnsi="Arial" w:cs="Arial"/>
                <w:sz w:val="24"/>
                <w:szCs w:val="24"/>
              </w:rPr>
              <w:t xml:space="preserve">Większość osób fizycznych nie zagląda na stronę internetową Ministerstwa Finansów, stąd </w:t>
            </w:r>
            <w:r w:rsidR="00C51F10">
              <w:rPr>
                <w:rFonts w:ascii="Arial" w:hAnsi="Arial" w:cs="Arial"/>
                <w:sz w:val="24"/>
                <w:szCs w:val="24"/>
              </w:rPr>
              <w:t xml:space="preserve">skuteczniejsze będzie </w:t>
            </w:r>
            <w:r w:rsidRPr="001A2587">
              <w:rPr>
                <w:rFonts w:ascii="Arial" w:hAnsi="Arial" w:cs="Arial"/>
                <w:sz w:val="24"/>
                <w:szCs w:val="24"/>
              </w:rPr>
              <w:t xml:space="preserve">dotarcie do osób fizycznych poprzez media społecznościowe, </w:t>
            </w:r>
            <w:r w:rsidR="00C51F10">
              <w:rPr>
                <w:rFonts w:ascii="Arial" w:hAnsi="Arial" w:cs="Arial"/>
                <w:sz w:val="24"/>
                <w:szCs w:val="24"/>
              </w:rPr>
              <w:t>z</w:t>
            </w:r>
            <w:r w:rsidRPr="001A2587">
              <w:rPr>
                <w:rFonts w:ascii="Arial" w:hAnsi="Arial" w:cs="Arial"/>
                <w:sz w:val="24"/>
                <w:szCs w:val="24"/>
              </w:rPr>
              <w:t xml:space="preserve"> których korzystają na co dzień.</w:t>
            </w:r>
          </w:p>
          <w:p w14:paraId="3FEDD6FA" w14:textId="4717EF82" w:rsidR="001A2587" w:rsidRPr="001A2587" w:rsidRDefault="001A2587" w:rsidP="001A2587">
            <w:pPr>
              <w:pStyle w:val="Akapitzlist"/>
              <w:numPr>
                <w:ilvl w:val="0"/>
                <w:numId w:val="29"/>
              </w:num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1A2587">
              <w:rPr>
                <w:rFonts w:ascii="Arial" w:hAnsi="Arial" w:cs="Arial"/>
                <w:sz w:val="24"/>
                <w:szCs w:val="24"/>
              </w:rPr>
              <w:t xml:space="preserve">Nie wszyscy obywatele korzystają </w:t>
            </w:r>
            <w:r w:rsidR="00C51F10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1A2587">
              <w:rPr>
                <w:rFonts w:ascii="Arial" w:hAnsi="Arial" w:cs="Arial"/>
                <w:sz w:val="24"/>
                <w:szCs w:val="24"/>
              </w:rPr>
              <w:t xml:space="preserve">mediów społecznościowych, stąd </w:t>
            </w:r>
            <w:r w:rsidR="00C51F10">
              <w:rPr>
                <w:rFonts w:ascii="Arial" w:hAnsi="Arial" w:cs="Arial"/>
                <w:sz w:val="24"/>
                <w:szCs w:val="24"/>
              </w:rPr>
              <w:t xml:space="preserve">publikacja </w:t>
            </w:r>
            <w:r w:rsidRPr="001A2587">
              <w:rPr>
                <w:rFonts w:ascii="Arial" w:hAnsi="Arial" w:cs="Arial"/>
                <w:sz w:val="24"/>
                <w:szCs w:val="24"/>
              </w:rPr>
              <w:t>informacj</w:t>
            </w:r>
            <w:r w:rsidR="00C51F10">
              <w:rPr>
                <w:rFonts w:ascii="Arial" w:hAnsi="Arial" w:cs="Arial"/>
                <w:sz w:val="24"/>
                <w:szCs w:val="24"/>
              </w:rPr>
              <w:t>i</w:t>
            </w:r>
            <w:r w:rsidRPr="001A2587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45472F">
              <w:rPr>
                <w:rFonts w:ascii="Arial" w:hAnsi="Arial" w:cs="Arial"/>
                <w:sz w:val="24"/>
                <w:szCs w:val="24"/>
              </w:rPr>
              <w:t> </w:t>
            </w:r>
            <w:r w:rsidRPr="001A2587">
              <w:rPr>
                <w:rFonts w:ascii="Arial" w:hAnsi="Arial" w:cs="Arial"/>
                <w:sz w:val="24"/>
                <w:szCs w:val="24"/>
              </w:rPr>
              <w:t>mediach trady</w:t>
            </w:r>
            <w:r w:rsidR="00C51F10">
              <w:rPr>
                <w:rFonts w:ascii="Arial" w:hAnsi="Arial" w:cs="Arial"/>
                <w:sz w:val="24"/>
                <w:szCs w:val="24"/>
              </w:rPr>
              <w:t>cy</w:t>
            </w:r>
            <w:r w:rsidRPr="001A2587">
              <w:rPr>
                <w:rFonts w:ascii="Arial" w:hAnsi="Arial" w:cs="Arial"/>
                <w:sz w:val="24"/>
                <w:szCs w:val="24"/>
              </w:rPr>
              <w:t>jnych.</w:t>
            </w:r>
          </w:p>
          <w:p w14:paraId="201F1F40" w14:textId="795D9B3D" w:rsidR="001A2587" w:rsidRPr="001A2587" w:rsidRDefault="001A2587" w:rsidP="001A2587">
            <w:pPr>
              <w:pStyle w:val="Akapitzlist"/>
              <w:numPr>
                <w:ilvl w:val="0"/>
                <w:numId w:val="29"/>
              </w:num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1A2587">
              <w:rPr>
                <w:rFonts w:ascii="Arial" w:hAnsi="Arial" w:cs="Arial"/>
                <w:sz w:val="24"/>
                <w:szCs w:val="24"/>
              </w:rPr>
              <w:lastRenderedPageBreak/>
              <w:t>W przypadku inter</w:t>
            </w:r>
            <w:r w:rsidR="00C51F10">
              <w:rPr>
                <w:rFonts w:ascii="Arial" w:hAnsi="Arial" w:cs="Arial"/>
                <w:sz w:val="24"/>
                <w:szCs w:val="24"/>
              </w:rPr>
              <w:t>e</w:t>
            </w:r>
            <w:r w:rsidRPr="001A2587">
              <w:rPr>
                <w:rFonts w:ascii="Arial" w:hAnsi="Arial" w:cs="Arial"/>
                <w:sz w:val="24"/>
                <w:szCs w:val="24"/>
              </w:rPr>
              <w:t>sariuszy – organizacji skuteczn</w:t>
            </w:r>
            <w:r w:rsidR="00C51F10"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Pr="001A2587">
              <w:rPr>
                <w:rFonts w:ascii="Arial" w:hAnsi="Arial" w:cs="Arial"/>
                <w:sz w:val="24"/>
                <w:szCs w:val="24"/>
              </w:rPr>
              <w:t xml:space="preserve">będzie </w:t>
            </w:r>
            <w:r w:rsidR="00C51F10">
              <w:rPr>
                <w:rFonts w:ascii="Arial" w:hAnsi="Arial" w:cs="Arial"/>
                <w:sz w:val="24"/>
                <w:szCs w:val="24"/>
              </w:rPr>
              <w:t>wysłanie informacji e-mailem.</w:t>
            </w:r>
          </w:p>
        </w:tc>
      </w:tr>
      <w:tr w:rsidR="00730088" w:rsidRPr="0025778A" w14:paraId="3BD4FAB2" w14:textId="77777777" w:rsidTr="003E28C4">
        <w:tc>
          <w:tcPr>
            <w:tcW w:w="2122" w:type="dxa"/>
          </w:tcPr>
          <w:p w14:paraId="1664752A" w14:textId="77777777" w:rsidR="00730088" w:rsidRPr="0025778A" w:rsidRDefault="00730088" w:rsidP="00372574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lastRenderedPageBreak/>
              <w:t>sposoby zgłaszania uwag</w:t>
            </w:r>
          </w:p>
        </w:tc>
        <w:tc>
          <w:tcPr>
            <w:tcW w:w="3118" w:type="dxa"/>
          </w:tcPr>
          <w:p w14:paraId="16F97856" w14:textId="4C195E80" w:rsidR="00730088" w:rsidRPr="006B15D4" w:rsidRDefault="001A2587" w:rsidP="006B15D4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6B15D4">
              <w:rPr>
                <w:rFonts w:ascii="Arial" w:hAnsi="Arial" w:cs="Arial"/>
                <w:sz w:val="24"/>
                <w:szCs w:val="24"/>
              </w:rPr>
              <w:t>Przykładowe sposoby zgłaszania uwag:</w:t>
            </w:r>
          </w:p>
          <w:p w14:paraId="3ED5EF8E" w14:textId="77777777" w:rsidR="00615FB3" w:rsidRDefault="001A2587" w:rsidP="00615FB3">
            <w:pPr>
              <w:pStyle w:val="Akapitzlist"/>
              <w:numPr>
                <w:ilvl w:val="0"/>
                <w:numId w:val="35"/>
              </w:numPr>
              <w:spacing w:after="120" w:line="360" w:lineRule="auto"/>
              <w:ind w:left="312"/>
              <w:rPr>
                <w:rFonts w:ascii="Arial" w:hAnsi="Arial" w:cs="Arial"/>
                <w:sz w:val="24"/>
                <w:szCs w:val="24"/>
              </w:rPr>
            </w:pPr>
            <w:r w:rsidRPr="00C51F10">
              <w:rPr>
                <w:rFonts w:ascii="Arial" w:hAnsi="Arial" w:cs="Arial"/>
                <w:sz w:val="24"/>
                <w:szCs w:val="24"/>
              </w:rPr>
              <w:t>Przysyłanie uwag elektronicznie za pomocą przygotowanego formularza.</w:t>
            </w:r>
          </w:p>
          <w:p w14:paraId="26EF9218" w14:textId="02C0F078" w:rsidR="001A2587" w:rsidRPr="006B15D4" w:rsidRDefault="001A2587" w:rsidP="00615FB3">
            <w:pPr>
              <w:pStyle w:val="Akapitzlist"/>
              <w:numPr>
                <w:ilvl w:val="0"/>
                <w:numId w:val="35"/>
              </w:numPr>
              <w:spacing w:after="120" w:line="360" w:lineRule="auto"/>
              <w:ind w:left="312"/>
              <w:rPr>
                <w:rFonts w:ascii="Arial" w:hAnsi="Arial" w:cs="Arial"/>
                <w:sz w:val="24"/>
                <w:szCs w:val="24"/>
              </w:rPr>
            </w:pPr>
            <w:r w:rsidRPr="006B15D4">
              <w:rPr>
                <w:rFonts w:ascii="Arial" w:hAnsi="Arial" w:cs="Arial"/>
                <w:sz w:val="24"/>
                <w:szCs w:val="24"/>
              </w:rPr>
              <w:t>Spotkania z organizacjami reprezentującymi podatników, organizacjami branżowymi, z Radą Dialogu Społecznego.</w:t>
            </w:r>
          </w:p>
        </w:tc>
        <w:tc>
          <w:tcPr>
            <w:tcW w:w="3822" w:type="dxa"/>
          </w:tcPr>
          <w:p w14:paraId="143E435F" w14:textId="2D3865F9" w:rsidR="00730088" w:rsidRPr="00615FB3" w:rsidRDefault="001A2587" w:rsidP="00615FB3">
            <w:pPr>
              <w:pStyle w:val="Akapitzlist"/>
              <w:numPr>
                <w:ilvl w:val="0"/>
                <w:numId w:val="36"/>
              </w:num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615FB3">
              <w:rPr>
                <w:rFonts w:ascii="Arial" w:hAnsi="Arial" w:cs="Arial"/>
                <w:sz w:val="24"/>
                <w:szCs w:val="24"/>
              </w:rPr>
              <w:t>Jest to przyjęty w administracji publicznej sposób zgłaszania uwag, a dodatkowo w</w:t>
            </w:r>
            <w:r w:rsidR="008D6E9C">
              <w:rPr>
                <w:rFonts w:ascii="Arial" w:hAnsi="Arial" w:cs="Arial"/>
                <w:sz w:val="24"/>
                <w:szCs w:val="24"/>
              </w:rPr>
              <w:t> </w:t>
            </w:r>
            <w:r w:rsidRPr="00615FB3">
              <w:rPr>
                <w:rFonts w:ascii="Arial" w:hAnsi="Arial" w:cs="Arial"/>
                <w:sz w:val="24"/>
                <w:szCs w:val="24"/>
              </w:rPr>
              <w:t>przypadku Ministerstwa Finansów wynika to z</w:t>
            </w:r>
            <w:r w:rsidR="008D6E9C">
              <w:rPr>
                <w:rFonts w:ascii="Arial" w:hAnsi="Arial" w:cs="Arial"/>
                <w:sz w:val="24"/>
                <w:szCs w:val="24"/>
              </w:rPr>
              <w:t> </w:t>
            </w:r>
            <w:r w:rsidRPr="00615FB3">
              <w:rPr>
                <w:rFonts w:ascii="Arial" w:hAnsi="Arial" w:cs="Arial"/>
                <w:sz w:val="24"/>
                <w:szCs w:val="24"/>
              </w:rPr>
              <w:t>Zarządzeni</w:t>
            </w:r>
            <w:r w:rsidR="00615FB3">
              <w:rPr>
                <w:rFonts w:ascii="Arial" w:hAnsi="Arial" w:cs="Arial"/>
                <w:sz w:val="24"/>
                <w:szCs w:val="24"/>
              </w:rPr>
              <w:t>a</w:t>
            </w:r>
            <w:r w:rsidRPr="00615FB3">
              <w:rPr>
                <w:rFonts w:ascii="Arial" w:hAnsi="Arial" w:cs="Arial"/>
                <w:sz w:val="24"/>
                <w:szCs w:val="24"/>
              </w:rPr>
              <w:t xml:space="preserve"> Ministra Rozwoju i Finansów z dnia 20 czerwca 2017 r. w sprawie konsultacji podatkowych (Dz. Urz. MRiF poz. 122)</w:t>
            </w:r>
            <w:r w:rsidR="006B15D4" w:rsidRPr="00615FB3">
              <w:rPr>
                <w:rFonts w:ascii="Arial" w:hAnsi="Arial" w:cs="Arial"/>
                <w:sz w:val="24"/>
                <w:szCs w:val="24"/>
              </w:rPr>
              <w:t xml:space="preserve">. Warto także zwrócić uwagę, że jest </w:t>
            </w:r>
            <w:r w:rsidR="00615FB3">
              <w:rPr>
                <w:rFonts w:ascii="Arial" w:hAnsi="Arial" w:cs="Arial"/>
                <w:sz w:val="24"/>
                <w:szCs w:val="24"/>
              </w:rPr>
              <w:t xml:space="preserve">to sposób </w:t>
            </w:r>
            <w:r w:rsidR="006B15D4" w:rsidRPr="00615FB3">
              <w:rPr>
                <w:rFonts w:ascii="Arial" w:hAnsi="Arial" w:cs="Arial"/>
                <w:sz w:val="24"/>
                <w:szCs w:val="24"/>
              </w:rPr>
              <w:t>użyteczny z</w:t>
            </w:r>
            <w:r w:rsidR="008D6E9C">
              <w:rPr>
                <w:rFonts w:ascii="Arial" w:hAnsi="Arial" w:cs="Arial"/>
                <w:sz w:val="24"/>
                <w:szCs w:val="24"/>
              </w:rPr>
              <w:t> </w:t>
            </w:r>
            <w:r w:rsidR="006B15D4" w:rsidRPr="00615FB3">
              <w:rPr>
                <w:rFonts w:ascii="Arial" w:hAnsi="Arial" w:cs="Arial"/>
                <w:sz w:val="24"/>
                <w:szCs w:val="24"/>
              </w:rPr>
              <w:t>perspektywy rozpatrywania zgłoszonych uwag, których w</w:t>
            </w:r>
            <w:r w:rsidR="008D6E9C">
              <w:rPr>
                <w:rFonts w:ascii="Arial" w:hAnsi="Arial" w:cs="Arial"/>
                <w:sz w:val="24"/>
                <w:szCs w:val="24"/>
              </w:rPr>
              <w:t> </w:t>
            </w:r>
            <w:r w:rsidR="006B15D4" w:rsidRPr="00615FB3">
              <w:rPr>
                <w:rFonts w:ascii="Arial" w:hAnsi="Arial" w:cs="Arial"/>
                <w:sz w:val="24"/>
                <w:szCs w:val="24"/>
              </w:rPr>
              <w:t>tym przypadku może być nawet kilka tysięcy.</w:t>
            </w:r>
          </w:p>
          <w:p w14:paraId="372DB7E6" w14:textId="6C23D2C3" w:rsidR="006B15D4" w:rsidRPr="00615FB3" w:rsidRDefault="006B15D4" w:rsidP="00615FB3">
            <w:pPr>
              <w:pStyle w:val="Akapitzlist"/>
              <w:numPr>
                <w:ilvl w:val="0"/>
                <w:numId w:val="36"/>
              </w:num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615FB3">
              <w:rPr>
                <w:rFonts w:ascii="Arial" w:hAnsi="Arial" w:cs="Arial"/>
                <w:sz w:val="24"/>
                <w:szCs w:val="24"/>
              </w:rPr>
              <w:t>W przypadku organizacji najbardziej efektywn</w:t>
            </w:r>
            <w:r w:rsidR="00615FB3">
              <w:rPr>
                <w:rFonts w:ascii="Arial" w:hAnsi="Arial" w:cs="Arial"/>
                <w:sz w:val="24"/>
                <w:szCs w:val="24"/>
              </w:rPr>
              <w:t>ym sposobem</w:t>
            </w:r>
            <w:r w:rsidRPr="00615FB3">
              <w:rPr>
                <w:rFonts w:ascii="Arial" w:hAnsi="Arial" w:cs="Arial"/>
                <w:sz w:val="24"/>
                <w:szCs w:val="24"/>
              </w:rPr>
              <w:t xml:space="preserve"> wydają się spotkania konsultacyjne, można je zastąpić także skierowaniem prośby o</w:t>
            </w:r>
            <w:r w:rsidR="008D6E9C">
              <w:rPr>
                <w:rFonts w:ascii="Arial" w:hAnsi="Arial" w:cs="Arial"/>
                <w:sz w:val="24"/>
                <w:szCs w:val="24"/>
              </w:rPr>
              <w:t> </w:t>
            </w:r>
            <w:r w:rsidRPr="00615FB3">
              <w:rPr>
                <w:rFonts w:ascii="Arial" w:hAnsi="Arial" w:cs="Arial"/>
                <w:sz w:val="24"/>
                <w:szCs w:val="24"/>
              </w:rPr>
              <w:t>pisemną opinię.</w:t>
            </w:r>
          </w:p>
          <w:p w14:paraId="4FC46149" w14:textId="4621CD73" w:rsidR="00615FB3" w:rsidRPr="00615FB3" w:rsidRDefault="00615FB3" w:rsidP="00615FB3">
            <w:pPr>
              <w:spacing w:after="120" w:line="360" w:lineRule="auto"/>
              <w:ind w:left="-4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 uwagi na temat użyteczne </w:t>
            </w:r>
            <w:r w:rsidR="006B15D4" w:rsidRPr="00615FB3">
              <w:rPr>
                <w:rFonts w:ascii="Arial" w:hAnsi="Arial" w:cs="Arial"/>
                <w:sz w:val="24"/>
                <w:szCs w:val="24"/>
              </w:rPr>
              <w:t xml:space="preserve">byłyby także </w:t>
            </w:r>
            <w:r>
              <w:rPr>
                <w:rFonts w:ascii="Arial" w:hAnsi="Arial" w:cs="Arial"/>
                <w:sz w:val="24"/>
                <w:szCs w:val="24"/>
              </w:rPr>
              <w:t xml:space="preserve">inne </w:t>
            </w:r>
            <w:r w:rsidR="006B15D4" w:rsidRPr="00615FB3">
              <w:rPr>
                <w:rFonts w:ascii="Arial" w:hAnsi="Arial" w:cs="Arial"/>
                <w:sz w:val="24"/>
                <w:szCs w:val="24"/>
              </w:rPr>
              <w:t>sposoby, np. sondaż de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6B15D4" w:rsidRPr="00615FB3">
              <w:rPr>
                <w:rFonts w:ascii="Arial" w:hAnsi="Arial" w:cs="Arial"/>
                <w:sz w:val="24"/>
                <w:szCs w:val="24"/>
              </w:rPr>
              <w:t>iber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6B15D4" w:rsidRPr="00615FB3">
              <w:rPr>
                <w:rFonts w:ascii="Arial" w:hAnsi="Arial" w:cs="Arial"/>
                <w:sz w:val="24"/>
                <w:szCs w:val="24"/>
              </w:rPr>
              <w:t xml:space="preserve">tywny czy panel obywatelski, ale są one w tym przypadku trudne do zastosowania przede wszystkim ze względu na problem </w:t>
            </w:r>
            <w:r w:rsidR="006B15D4" w:rsidRPr="00615FB3">
              <w:rPr>
                <w:rFonts w:ascii="Arial" w:hAnsi="Arial" w:cs="Arial"/>
                <w:sz w:val="24"/>
                <w:szCs w:val="24"/>
              </w:rPr>
              <w:lastRenderedPageBreak/>
              <w:t>z</w:t>
            </w:r>
            <w:r w:rsidR="008D6E9C">
              <w:rPr>
                <w:rFonts w:ascii="Arial" w:hAnsi="Arial" w:cs="Arial"/>
                <w:sz w:val="24"/>
                <w:szCs w:val="24"/>
              </w:rPr>
              <w:t> </w:t>
            </w:r>
            <w:r w:rsidR="006B15D4" w:rsidRPr="00615FB3">
              <w:rPr>
                <w:rFonts w:ascii="Arial" w:hAnsi="Arial" w:cs="Arial"/>
                <w:sz w:val="24"/>
                <w:szCs w:val="24"/>
              </w:rPr>
              <w:t>wyłonieniem reprezentatywnych przedstawicieli podatników.</w:t>
            </w:r>
          </w:p>
        </w:tc>
      </w:tr>
      <w:tr w:rsidR="00730088" w:rsidRPr="0025778A" w14:paraId="08872773" w14:textId="77777777" w:rsidTr="003E28C4">
        <w:tc>
          <w:tcPr>
            <w:tcW w:w="2122" w:type="dxa"/>
          </w:tcPr>
          <w:p w14:paraId="74A25BF2" w14:textId="77777777" w:rsidR="00730088" w:rsidRPr="0025778A" w:rsidRDefault="00730088" w:rsidP="00372574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lastRenderedPageBreak/>
              <w:t>zasoby niezbędne do przeprowadzenia konsultacji</w:t>
            </w:r>
          </w:p>
        </w:tc>
        <w:tc>
          <w:tcPr>
            <w:tcW w:w="3118" w:type="dxa"/>
          </w:tcPr>
          <w:p w14:paraId="6305CDEE" w14:textId="77777777" w:rsidR="00570434" w:rsidRPr="00570434" w:rsidRDefault="00570434" w:rsidP="00570434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70434">
              <w:rPr>
                <w:rFonts w:ascii="Arial" w:hAnsi="Arial" w:cs="Arial"/>
                <w:sz w:val="24"/>
                <w:szCs w:val="24"/>
              </w:rPr>
              <w:t>Uczestnicy mogą zgłaszać różne propozycje, ale wśród nich powinny znaleźć się:</w:t>
            </w:r>
          </w:p>
          <w:p w14:paraId="3F6F94C2" w14:textId="1A7A51B8" w:rsidR="00570434" w:rsidRPr="00570434" w:rsidRDefault="00570434" w:rsidP="00570434">
            <w:pPr>
              <w:pStyle w:val="Akapitzlist"/>
              <w:numPr>
                <w:ilvl w:val="0"/>
                <w:numId w:val="38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70434">
              <w:rPr>
                <w:rFonts w:ascii="Arial" w:hAnsi="Arial" w:cs="Arial"/>
                <w:sz w:val="24"/>
                <w:szCs w:val="24"/>
              </w:rPr>
              <w:t>Koordynator konsultacji</w:t>
            </w:r>
            <w:r>
              <w:rPr>
                <w:rFonts w:ascii="Arial" w:hAnsi="Arial" w:cs="Arial"/>
                <w:sz w:val="24"/>
                <w:szCs w:val="24"/>
              </w:rPr>
              <w:t>, czyli departament odpowiedzialny za przygotowanie i przeprowadzenie konsultacji.</w:t>
            </w:r>
          </w:p>
          <w:p w14:paraId="70469D9B" w14:textId="0915CD8A" w:rsidR="00570434" w:rsidRPr="00570434" w:rsidRDefault="00570434" w:rsidP="00570434">
            <w:pPr>
              <w:pStyle w:val="Akapitzlist"/>
              <w:numPr>
                <w:ilvl w:val="0"/>
                <w:numId w:val="38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70434">
              <w:rPr>
                <w:rFonts w:ascii="Arial" w:hAnsi="Arial" w:cs="Arial"/>
                <w:sz w:val="24"/>
                <w:szCs w:val="24"/>
              </w:rPr>
              <w:t>Strona internetowa, na której ogłoszone zostaną konsultacje.</w:t>
            </w:r>
          </w:p>
          <w:p w14:paraId="63319520" w14:textId="25EAC3F0" w:rsidR="00615FB3" w:rsidRPr="00570434" w:rsidRDefault="00615FB3" w:rsidP="00570434">
            <w:pPr>
              <w:pStyle w:val="Akapitzlist"/>
              <w:numPr>
                <w:ilvl w:val="0"/>
                <w:numId w:val="38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70434">
              <w:rPr>
                <w:rFonts w:ascii="Arial" w:hAnsi="Arial" w:cs="Arial"/>
                <w:sz w:val="24"/>
                <w:szCs w:val="24"/>
              </w:rPr>
              <w:t>Elektroniczny mechanizm zbierania uwag (e-mail lub generator) i jego wsparcie techniczne</w:t>
            </w:r>
            <w:r w:rsidR="0057043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8406CE" w14:textId="6CDAB857" w:rsidR="00615FB3" w:rsidRPr="00570434" w:rsidRDefault="00570434" w:rsidP="00570434">
            <w:pPr>
              <w:pStyle w:val="Akapitzlist"/>
              <w:numPr>
                <w:ilvl w:val="0"/>
                <w:numId w:val="38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70434">
              <w:rPr>
                <w:rFonts w:ascii="Arial" w:hAnsi="Arial" w:cs="Arial"/>
                <w:sz w:val="24"/>
                <w:szCs w:val="24"/>
              </w:rPr>
              <w:t>Zasoby ludzkie: co najmniej k</w:t>
            </w:r>
            <w:r w:rsidR="00615FB3" w:rsidRPr="00570434">
              <w:rPr>
                <w:rFonts w:ascii="Arial" w:hAnsi="Arial" w:cs="Arial"/>
                <w:sz w:val="24"/>
                <w:szCs w:val="24"/>
              </w:rPr>
              <w:t>ilka osób do uporządkowania i analizy zgłoszonych uwag</w:t>
            </w:r>
            <w:r w:rsidRPr="00570434">
              <w:rPr>
                <w:rFonts w:ascii="Arial" w:hAnsi="Arial" w:cs="Arial"/>
                <w:sz w:val="24"/>
                <w:szCs w:val="24"/>
              </w:rPr>
              <w:t xml:space="preserve"> oraz przygotowania odpowiedzi i sporządzenia raportu z konsultacji.</w:t>
            </w:r>
          </w:p>
          <w:p w14:paraId="394E79BF" w14:textId="4DD25F71" w:rsidR="00570434" w:rsidRPr="00570434" w:rsidRDefault="00570434" w:rsidP="00570434">
            <w:pPr>
              <w:pStyle w:val="Akapitzlist"/>
              <w:numPr>
                <w:ilvl w:val="0"/>
                <w:numId w:val="38"/>
              </w:numPr>
              <w:spacing w:after="12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70434">
              <w:rPr>
                <w:rFonts w:ascii="Arial" w:hAnsi="Arial" w:cs="Arial"/>
                <w:sz w:val="24"/>
                <w:szCs w:val="24"/>
              </w:rPr>
              <w:t>Zasoby ludzkie: osoby do prowadzenia</w:t>
            </w:r>
            <w:r w:rsidR="00864B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434">
              <w:rPr>
                <w:rFonts w:ascii="Arial" w:hAnsi="Arial" w:cs="Arial"/>
                <w:sz w:val="24"/>
                <w:szCs w:val="24"/>
              </w:rPr>
              <w:t xml:space="preserve">spotkań </w:t>
            </w:r>
            <w:r w:rsidRPr="00570434">
              <w:rPr>
                <w:rFonts w:ascii="Arial" w:hAnsi="Arial" w:cs="Arial"/>
                <w:sz w:val="24"/>
                <w:szCs w:val="24"/>
              </w:rPr>
              <w:lastRenderedPageBreak/>
              <w:t>konsultacyjnych</w:t>
            </w:r>
            <w:r w:rsidR="00864B88">
              <w:rPr>
                <w:rFonts w:ascii="Arial" w:hAnsi="Arial" w:cs="Arial"/>
                <w:sz w:val="24"/>
                <w:szCs w:val="24"/>
              </w:rPr>
              <w:t xml:space="preserve"> oraz zbierania uwag zgłoszonych na tych spotkaniach.</w:t>
            </w:r>
          </w:p>
          <w:p w14:paraId="13AE5897" w14:textId="58B72999" w:rsidR="00570434" w:rsidRPr="00570434" w:rsidRDefault="00570434" w:rsidP="00570434">
            <w:pPr>
              <w:pStyle w:val="Akapitzlist"/>
              <w:numPr>
                <w:ilvl w:val="0"/>
                <w:numId w:val="38"/>
              </w:numPr>
              <w:spacing w:after="120" w:line="360" w:lineRule="auto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0434">
              <w:rPr>
                <w:rFonts w:ascii="Arial" w:hAnsi="Arial" w:cs="Arial"/>
                <w:sz w:val="24"/>
                <w:szCs w:val="24"/>
              </w:rPr>
              <w:t>Zasoby organizacyjne do przeprowadzenia spotkań konsultacyjnych.</w:t>
            </w:r>
          </w:p>
        </w:tc>
        <w:tc>
          <w:tcPr>
            <w:tcW w:w="3822" w:type="dxa"/>
          </w:tcPr>
          <w:p w14:paraId="411DA1F8" w14:textId="120B75F2" w:rsidR="00730088" w:rsidRPr="00864B88" w:rsidRDefault="00570434" w:rsidP="00570434">
            <w:pPr>
              <w:pStyle w:val="Akapitzlist"/>
              <w:numPr>
                <w:ilvl w:val="0"/>
                <w:numId w:val="40"/>
              </w:numPr>
              <w:spacing w:after="120" w:line="360" w:lineRule="auto"/>
              <w:ind w:left="320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0434">
              <w:rPr>
                <w:rFonts w:ascii="Arial" w:hAnsi="Arial" w:cs="Arial"/>
                <w:sz w:val="24"/>
                <w:szCs w:val="24"/>
              </w:rPr>
              <w:lastRenderedPageBreak/>
              <w:t>Koordynatorem konsultacji powinien być departament merytorycznie odpowiedzialny za przygotowanie projektu lub departament odpowiadający za konsultacje w MF. W</w:t>
            </w:r>
            <w:r w:rsidR="0045472F">
              <w:rPr>
                <w:rFonts w:ascii="Arial" w:hAnsi="Arial" w:cs="Arial"/>
                <w:sz w:val="24"/>
                <w:szCs w:val="24"/>
              </w:rPr>
              <w:t> </w:t>
            </w:r>
            <w:r w:rsidRPr="00570434">
              <w:rPr>
                <w:rFonts w:ascii="Arial" w:hAnsi="Arial" w:cs="Arial"/>
                <w:sz w:val="24"/>
                <w:szCs w:val="24"/>
              </w:rPr>
              <w:t>rzeczywistości w MF nie ma departamentu odpowiadającego za prowadzenie konsultacji, więc koordynatorem konsultacji jest w tym przypadku departament podatków dochodowych, który opracował propozycję projektu.</w:t>
            </w:r>
          </w:p>
          <w:p w14:paraId="1DDB25F3" w14:textId="77777777" w:rsidR="00864B88" w:rsidRDefault="00864B88" w:rsidP="00570434">
            <w:pPr>
              <w:pStyle w:val="Akapitzlist"/>
              <w:numPr>
                <w:ilvl w:val="0"/>
                <w:numId w:val="40"/>
              </w:numPr>
              <w:spacing w:after="120" w:line="360" w:lineRule="auto"/>
              <w:ind w:left="32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64B88">
              <w:rPr>
                <w:rFonts w:ascii="Arial" w:hAnsi="Arial" w:cs="Arial"/>
                <w:sz w:val="24"/>
                <w:szCs w:val="24"/>
              </w:rPr>
              <w:t>Na stronie internetowej MF jest wydzielona zakładka „Konsultacje podatkowe”, na której ogłaszane są konsultacje projektów zmian dotyczących podatków.</w:t>
            </w:r>
          </w:p>
          <w:p w14:paraId="3E57C1AE" w14:textId="649FEEBB" w:rsidR="00864B88" w:rsidRDefault="00864B88" w:rsidP="00570434">
            <w:pPr>
              <w:pStyle w:val="Akapitzlist"/>
              <w:numPr>
                <w:ilvl w:val="0"/>
                <w:numId w:val="40"/>
              </w:numPr>
              <w:spacing w:after="120" w:line="360" w:lineRule="auto"/>
              <w:ind w:left="32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Najczęściej, także w</w:t>
            </w:r>
            <w:r w:rsidR="008D6E9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 xml:space="preserve">przypadku MF, uwagi zgłaszane są za pośrednictwem e-maila. Przy potencjalnie dużej liczbie uwag mechanizm musi zapewniać techniczną możliwość przyjęcia dużej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liczby e-maili w stosunkowo krótkim czasie.</w:t>
            </w:r>
          </w:p>
          <w:p w14:paraId="6D38914B" w14:textId="77777777" w:rsidR="00864B88" w:rsidRDefault="00864B88" w:rsidP="00570434">
            <w:pPr>
              <w:pStyle w:val="Akapitzlist"/>
              <w:numPr>
                <w:ilvl w:val="0"/>
                <w:numId w:val="40"/>
              </w:numPr>
              <w:spacing w:after="120" w:line="360" w:lineRule="auto"/>
              <w:ind w:left="32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 uwagi na dużą liczbę uwag należy przygotować co najmniej kilka osób do ich rozpatrzenia i przygotowania raportu z konsultacji.</w:t>
            </w:r>
          </w:p>
          <w:p w14:paraId="607FE998" w14:textId="5CB86FD9" w:rsidR="00864B88" w:rsidRDefault="00864B88" w:rsidP="00570434">
            <w:pPr>
              <w:pStyle w:val="Akapitzlist"/>
              <w:numPr>
                <w:ilvl w:val="0"/>
                <w:numId w:val="40"/>
              </w:numPr>
              <w:spacing w:after="120" w:line="360" w:lineRule="auto"/>
              <w:ind w:left="32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Potrzebna jest także co najmniej jedna osoba do moderowania spotkań konsultacyjnych oraz co najmniej jedna osoba, która zbierze uwagi zgłoszone na tych spotkaniach.</w:t>
            </w:r>
          </w:p>
          <w:p w14:paraId="2AA7B4BF" w14:textId="348FCE9F" w:rsidR="0045472F" w:rsidRDefault="0045472F" w:rsidP="00570434">
            <w:pPr>
              <w:pStyle w:val="Akapitzlist"/>
              <w:numPr>
                <w:ilvl w:val="0"/>
                <w:numId w:val="40"/>
              </w:numPr>
              <w:spacing w:after="120" w:line="360" w:lineRule="auto"/>
              <w:ind w:left="32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 spotkań potrzebne są np. sale z</w:t>
            </w:r>
            <w:r w:rsidR="008D6E9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wyposażeniem technicznym i obsługą.</w:t>
            </w:r>
          </w:p>
          <w:p w14:paraId="22894E22" w14:textId="37991026" w:rsidR="00864B88" w:rsidRPr="00864B88" w:rsidRDefault="00864B88" w:rsidP="00864B88">
            <w:pPr>
              <w:spacing w:after="120" w:line="360" w:lineRule="auto"/>
              <w:ind w:left="-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zaplanowaniu zasobów, z uwagi na potencjalnie dużą liczbę uwag, użyteczne jest odwołanie się do doświadczeń we wcześniejszych konsultacjach dotyczących zmian podatku PIT.</w:t>
            </w:r>
          </w:p>
        </w:tc>
      </w:tr>
    </w:tbl>
    <w:p w14:paraId="49133BA4" w14:textId="77777777" w:rsidR="00730088" w:rsidRPr="0025778A" w:rsidRDefault="00730088" w:rsidP="00730088">
      <w:pPr>
        <w:spacing w:after="120" w:line="360" w:lineRule="auto"/>
        <w:ind w:left="357"/>
        <w:rPr>
          <w:rFonts w:ascii="Arial" w:hAnsi="Arial" w:cs="Arial"/>
          <w:b/>
          <w:bCs/>
          <w:sz w:val="28"/>
          <w:szCs w:val="28"/>
        </w:rPr>
      </w:pPr>
    </w:p>
    <w:sectPr w:rsidR="00730088" w:rsidRPr="002577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6E161" w14:textId="77777777" w:rsidR="00AE33B6" w:rsidRDefault="00AE33B6" w:rsidP="00FE0D5E">
      <w:pPr>
        <w:spacing w:after="0" w:line="240" w:lineRule="auto"/>
      </w:pPr>
      <w:r>
        <w:separator/>
      </w:r>
    </w:p>
  </w:endnote>
  <w:endnote w:type="continuationSeparator" w:id="0">
    <w:p w14:paraId="37AA416C" w14:textId="77777777" w:rsidR="00AE33B6" w:rsidRDefault="00AE33B6" w:rsidP="00FE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21430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1F33B31" w14:textId="71BD9352" w:rsidR="00FE0D5E" w:rsidRPr="00FE0D5E" w:rsidRDefault="00FE0D5E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0D5E">
          <w:rPr>
            <w:rFonts w:ascii="Arial" w:hAnsi="Arial" w:cs="Arial"/>
            <w:sz w:val="20"/>
            <w:szCs w:val="20"/>
          </w:rPr>
          <w:fldChar w:fldCharType="begin"/>
        </w:r>
        <w:r w:rsidRPr="00FE0D5E">
          <w:rPr>
            <w:rFonts w:ascii="Arial" w:hAnsi="Arial" w:cs="Arial"/>
            <w:sz w:val="20"/>
            <w:szCs w:val="20"/>
          </w:rPr>
          <w:instrText>PAGE   \* MERGEFORMAT</w:instrText>
        </w:r>
        <w:r w:rsidRPr="00FE0D5E">
          <w:rPr>
            <w:rFonts w:ascii="Arial" w:hAnsi="Arial" w:cs="Arial"/>
            <w:sz w:val="20"/>
            <w:szCs w:val="20"/>
          </w:rPr>
          <w:fldChar w:fldCharType="separate"/>
        </w:r>
        <w:r w:rsidRPr="00FE0D5E">
          <w:rPr>
            <w:rFonts w:ascii="Arial" w:hAnsi="Arial" w:cs="Arial"/>
            <w:sz w:val="20"/>
            <w:szCs w:val="20"/>
          </w:rPr>
          <w:t>2</w:t>
        </w:r>
        <w:r w:rsidRPr="00FE0D5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D334E9D" w14:textId="77777777" w:rsidR="00FE0D5E" w:rsidRDefault="00FE0D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93680" w14:textId="77777777" w:rsidR="00AE33B6" w:rsidRDefault="00AE33B6" w:rsidP="00FE0D5E">
      <w:pPr>
        <w:spacing w:after="0" w:line="240" w:lineRule="auto"/>
      </w:pPr>
      <w:r>
        <w:separator/>
      </w:r>
    </w:p>
  </w:footnote>
  <w:footnote w:type="continuationSeparator" w:id="0">
    <w:p w14:paraId="3C7CDD87" w14:textId="77777777" w:rsidR="00AE33B6" w:rsidRDefault="00AE33B6" w:rsidP="00FE0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05B9"/>
    <w:multiLevelType w:val="hybridMultilevel"/>
    <w:tmpl w:val="232A8210"/>
    <w:lvl w:ilvl="0" w:tplc="3410A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03777"/>
    <w:multiLevelType w:val="hybridMultilevel"/>
    <w:tmpl w:val="0C1AC4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273E8"/>
    <w:multiLevelType w:val="hybridMultilevel"/>
    <w:tmpl w:val="C8E46B86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28C3D71"/>
    <w:multiLevelType w:val="hybridMultilevel"/>
    <w:tmpl w:val="28D6EC04"/>
    <w:lvl w:ilvl="0" w:tplc="DF9E5C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  <w:sz w:val="24"/>
        <w:szCs w:val="24"/>
      </w:rPr>
    </w:lvl>
    <w:lvl w:ilvl="1" w:tplc="99A4D1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E3983"/>
    <w:multiLevelType w:val="hybridMultilevel"/>
    <w:tmpl w:val="AC5AA4FA"/>
    <w:lvl w:ilvl="0" w:tplc="04D6C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E0A02"/>
    <w:multiLevelType w:val="hybridMultilevel"/>
    <w:tmpl w:val="04DE3CC0"/>
    <w:lvl w:ilvl="0" w:tplc="3410A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C58AD"/>
    <w:multiLevelType w:val="hybridMultilevel"/>
    <w:tmpl w:val="89DC2672"/>
    <w:lvl w:ilvl="0" w:tplc="DF4281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12F5F"/>
    <w:multiLevelType w:val="hybridMultilevel"/>
    <w:tmpl w:val="3852F40E"/>
    <w:lvl w:ilvl="0" w:tplc="7FF8EB5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C4901"/>
    <w:multiLevelType w:val="multilevel"/>
    <w:tmpl w:val="F7F2C8F0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 w15:restartNumberingAfterBreak="0">
    <w:nsid w:val="25450DEB"/>
    <w:multiLevelType w:val="hybridMultilevel"/>
    <w:tmpl w:val="43D0E844"/>
    <w:lvl w:ilvl="0" w:tplc="5BCE825A">
      <w:start w:val="1"/>
      <w:numFmt w:val="decimal"/>
      <w:lvlText w:val="%1."/>
      <w:lvlJc w:val="left"/>
      <w:pPr>
        <w:ind w:left="31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F0BFC"/>
    <w:multiLevelType w:val="hybridMultilevel"/>
    <w:tmpl w:val="D1121E5A"/>
    <w:lvl w:ilvl="0" w:tplc="03BEF7E6">
      <w:start w:val="1"/>
      <w:numFmt w:val="decimal"/>
      <w:lvlText w:val="%1."/>
      <w:lvlJc w:val="left"/>
      <w:pPr>
        <w:ind w:left="67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ACD46C6"/>
    <w:multiLevelType w:val="hybridMultilevel"/>
    <w:tmpl w:val="C512D6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82F6D"/>
    <w:multiLevelType w:val="hybridMultilevel"/>
    <w:tmpl w:val="B62AFC60"/>
    <w:lvl w:ilvl="0" w:tplc="D0D63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A4AFB"/>
    <w:multiLevelType w:val="hybridMultilevel"/>
    <w:tmpl w:val="D4C66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A45F5"/>
    <w:multiLevelType w:val="hybridMultilevel"/>
    <w:tmpl w:val="DA1049F8"/>
    <w:lvl w:ilvl="0" w:tplc="1CEE15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431C2"/>
    <w:multiLevelType w:val="hybridMultilevel"/>
    <w:tmpl w:val="19C27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242FD"/>
    <w:multiLevelType w:val="hybridMultilevel"/>
    <w:tmpl w:val="4A2E35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B553F"/>
    <w:multiLevelType w:val="hybridMultilevel"/>
    <w:tmpl w:val="CBA2C1DE"/>
    <w:lvl w:ilvl="0" w:tplc="D3306414">
      <w:start w:val="1"/>
      <w:numFmt w:val="bullet"/>
      <w:lvlText w:val="§"/>
      <w:lvlJc w:val="left"/>
      <w:pPr>
        <w:ind w:left="786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64A6FE9"/>
    <w:multiLevelType w:val="hybridMultilevel"/>
    <w:tmpl w:val="CBD43800"/>
    <w:lvl w:ilvl="0" w:tplc="D0D63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C293F"/>
    <w:multiLevelType w:val="hybridMultilevel"/>
    <w:tmpl w:val="1D6AC18C"/>
    <w:lvl w:ilvl="0" w:tplc="3410A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646F1"/>
    <w:multiLevelType w:val="hybridMultilevel"/>
    <w:tmpl w:val="ABB4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03A86"/>
    <w:multiLevelType w:val="hybridMultilevel"/>
    <w:tmpl w:val="7D405DBC"/>
    <w:lvl w:ilvl="0" w:tplc="6D26EBA2">
      <w:start w:val="1"/>
      <w:numFmt w:val="decimal"/>
      <w:lvlText w:val="%1."/>
      <w:lvlJc w:val="left"/>
      <w:pPr>
        <w:ind w:left="31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32" w:hanging="360"/>
      </w:pPr>
    </w:lvl>
    <w:lvl w:ilvl="2" w:tplc="0415001B" w:tentative="1">
      <w:start w:val="1"/>
      <w:numFmt w:val="lowerRoman"/>
      <w:lvlText w:val="%3."/>
      <w:lvlJc w:val="right"/>
      <w:pPr>
        <w:ind w:left="1752" w:hanging="180"/>
      </w:pPr>
    </w:lvl>
    <w:lvl w:ilvl="3" w:tplc="0415000F" w:tentative="1">
      <w:start w:val="1"/>
      <w:numFmt w:val="decimal"/>
      <w:lvlText w:val="%4."/>
      <w:lvlJc w:val="left"/>
      <w:pPr>
        <w:ind w:left="2472" w:hanging="360"/>
      </w:pPr>
    </w:lvl>
    <w:lvl w:ilvl="4" w:tplc="04150019" w:tentative="1">
      <w:start w:val="1"/>
      <w:numFmt w:val="lowerLetter"/>
      <w:lvlText w:val="%5."/>
      <w:lvlJc w:val="left"/>
      <w:pPr>
        <w:ind w:left="3192" w:hanging="360"/>
      </w:pPr>
    </w:lvl>
    <w:lvl w:ilvl="5" w:tplc="0415001B" w:tentative="1">
      <w:start w:val="1"/>
      <w:numFmt w:val="lowerRoman"/>
      <w:lvlText w:val="%6."/>
      <w:lvlJc w:val="right"/>
      <w:pPr>
        <w:ind w:left="3912" w:hanging="180"/>
      </w:pPr>
    </w:lvl>
    <w:lvl w:ilvl="6" w:tplc="0415000F" w:tentative="1">
      <w:start w:val="1"/>
      <w:numFmt w:val="decimal"/>
      <w:lvlText w:val="%7."/>
      <w:lvlJc w:val="left"/>
      <w:pPr>
        <w:ind w:left="4632" w:hanging="360"/>
      </w:pPr>
    </w:lvl>
    <w:lvl w:ilvl="7" w:tplc="04150019" w:tentative="1">
      <w:start w:val="1"/>
      <w:numFmt w:val="lowerLetter"/>
      <w:lvlText w:val="%8."/>
      <w:lvlJc w:val="left"/>
      <w:pPr>
        <w:ind w:left="5352" w:hanging="360"/>
      </w:pPr>
    </w:lvl>
    <w:lvl w:ilvl="8" w:tplc="0415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2" w15:restartNumberingAfterBreak="0">
    <w:nsid w:val="429B00A5"/>
    <w:multiLevelType w:val="hybridMultilevel"/>
    <w:tmpl w:val="72E8BDDE"/>
    <w:lvl w:ilvl="0" w:tplc="82904BBA">
      <w:start w:val="1"/>
      <w:numFmt w:val="bullet"/>
      <w:lvlText w:val=""/>
      <w:lvlJc w:val="left"/>
      <w:pPr>
        <w:ind w:left="2062" w:hanging="360"/>
      </w:pPr>
      <w:rPr>
        <w:rFonts w:ascii="Wingdings" w:hAnsi="Wingdings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42EE6B60"/>
    <w:multiLevelType w:val="multilevel"/>
    <w:tmpl w:val="022A8124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4" w15:restartNumberingAfterBreak="0">
    <w:nsid w:val="450628F5"/>
    <w:multiLevelType w:val="hybridMultilevel"/>
    <w:tmpl w:val="2C8EC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72AB1"/>
    <w:multiLevelType w:val="hybridMultilevel"/>
    <w:tmpl w:val="E78EF3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10BA6"/>
    <w:multiLevelType w:val="hybridMultilevel"/>
    <w:tmpl w:val="21CAB362"/>
    <w:lvl w:ilvl="0" w:tplc="638EA75A">
      <w:start w:val="1"/>
      <w:numFmt w:val="bullet"/>
      <w:lvlText w:val="§"/>
      <w:lvlJc w:val="left"/>
      <w:pPr>
        <w:ind w:left="180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F332D0F"/>
    <w:multiLevelType w:val="multilevel"/>
    <w:tmpl w:val="427E5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8" w15:restartNumberingAfterBreak="0">
    <w:nsid w:val="4F694252"/>
    <w:multiLevelType w:val="hybridMultilevel"/>
    <w:tmpl w:val="E5C66742"/>
    <w:lvl w:ilvl="0" w:tplc="D0D63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F5F0A"/>
    <w:multiLevelType w:val="hybridMultilevel"/>
    <w:tmpl w:val="F9A0063C"/>
    <w:lvl w:ilvl="0" w:tplc="3410A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0266E2"/>
    <w:multiLevelType w:val="hybridMultilevel"/>
    <w:tmpl w:val="C652AA3C"/>
    <w:lvl w:ilvl="0" w:tplc="CB2839DA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31" w15:restartNumberingAfterBreak="0">
    <w:nsid w:val="57A93AD9"/>
    <w:multiLevelType w:val="multilevel"/>
    <w:tmpl w:val="198C5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BD42FC6"/>
    <w:multiLevelType w:val="hybridMultilevel"/>
    <w:tmpl w:val="1854BD18"/>
    <w:lvl w:ilvl="0" w:tplc="2ECA409C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32" w:hanging="360"/>
      </w:pPr>
    </w:lvl>
    <w:lvl w:ilvl="2" w:tplc="0415001B" w:tentative="1">
      <w:start w:val="1"/>
      <w:numFmt w:val="lowerRoman"/>
      <w:lvlText w:val="%3."/>
      <w:lvlJc w:val="right"/>
      <w:pPr>
        <w:ind w:left="1752" w:hanging="180"/>
      </w:pPr>
    </w:lvl>
    <w:lvl w:ilvl="3" w:tplc="0415000F" w:tentative="1">
      <w:start w:val="1"/>
      <w:numFmt w:val="decimal"/>
      <w:lvlText w:val="%4."/>
      <w:lvlJc w:val="left"/>
      <w:pPr>
        <w:ind w:left="2472" w:hanging="360"/>
      </w:pPr>
    </w:lvl>
    <w:lvl w:ilvl="4" w:tplc="04150019" w:tentative="1">
      <w:start w:val="1"/>
      <w:numFmt w:val="lowerLetter"/>
      <w:lvlText w:val="%5."/>
      <w:lvlJc w:val="left"/>
      <w:pPr>
        <w:ind w:left="3192" w:hanging="360"/>
      </w:pPr>
    </w:lvl>
    <w:lvl w:ilvl="5" w:tplc="0415001B" w:tentative="1">
      <w:start w:val="1"/>
      <w:numFmt w:val="lowerRoman"/>
      <w:lvlText w:val="%6."/>
      <w:lvlJc w:val="right"/>
      <w:pPr>
        <w:ind w:left="3912" w:hanging="180"/>
      </w:pPr>
    </w:lvl>
    <w:lvl w:ilvl="6" w:tplc="0415000F" w:tentative="1">
      <w:start w:val="1"/>
      <w:numFmt w:val="decimal"/>
      <w:lvlText w:val="%7."/>
      <w:lvlJc w:val="left"/>
      <w:pPr>
        <w:ind w:left="4632" w:hanging="360"/>
      </w:pPr>
    </w:lvl>
    <w:lvl w:ilvl="7" w:tplc="04150019" w:tentative="1">
      <w:start w:val="1"/>
      <w:numFmt w:val="lowerLetter"/>
      <w:lvlText w:val="%8."/>
      <w:lvlJc w:val="left"/>
      <w:pPr>
        <w:ind w:left="5352" w:hanging="360"/>
      </w:pPr>
    </w:lvl>
    <w:lvl w:ilvl="8" w:tplc="0415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33" w15:restartNumberingAfterBreak="0">
    <w:nsid w:val="5C0732C4"/>
    <w:multiLevelType w:val="hybridMultilevel"/>
    <w:tmpl w:val="A4DC32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93B51"/>
    <w:multiLevelType w:val="hybridMultilevel"/>
    <w:tmpl w:val="347AA6AE"/>
    <w:lvl w:ilvl="0" w:tplc="EA4AD7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color w:val="auto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155618"/>
    <w:multiLevelType w:val="hybridMultilevel"/>
    <w:tmpl w:val="71126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3740E7"/>
    <w:multiLevelType w:val="hybridMultilevel"/>
    <w:tmpl w:val="C6A2E6C4"/>
    <w:lvl w:ilvl="0" w:tplc="04D6C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C35A9"/>
    <w:multiLevelType w:val="hybridMultilevel"/>
    <w:tmpl w:val="2BD84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13DF8"/>
    <w:multiLevelType w:val="multilevel"/>
    <w:tmpl w:val="227A113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CFC311D"/>
    <w:multiLevelType w:val="hybridMultilevel"/>
    <w:tmpl w:val="F9025A44"/>
    <w:lvl w:ilvl="0" w:tplc="3410A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860684">
    <w:abstractNumId w:val="31"/>
  </w:num>
  <w:num w:numId="2" w16cid:durableId="1414621811">
    <w:abstractNumId w:val="27"/>
  </w:num>
  <w:num w:numId="3" w16cid:durableId="236402453">
    <w:abstractNumId w:val="13"/>
  </w:num>
  <w:num w:numId="4" w16cid:durableId="579604128">
    <w:abstractNumId w:val="3"/>
  </w:num>
  <w:num w:numId="5" w16cid:durableId="1199977159">
    <w:abstractNumId w:val="22"/>
  </w:num>
  <w:num w:numId="6" w16cid:durableId="1668706658">
    <w:abstractNumId w:val="38"/>
  </w:num>
  <w:num w:numId="7" w16cid:durableId="1801193236">
    <w:abstractNumId w:val="17"/>
  </w:num>
  <w:num w:numId="8" w16cid:durableId="1596472703">
    <w:abstractNumId w:val="7"/>
  </w:num>
  <w:num w:numId="9" w16cid:durableId="900284538">
    <w:abstractNumId w:val="1"/>
  </w:num>
  <w:num w:numId="10" w16cid:durableId="1323581425">
    <w:abstractNumId w:val="16"/>
  </w:num>
  <w:num w:numId="11" w16cid:durableId="1381053466">
    <w:abstractNumId w:val="11"/>
  </w:num>
  <w:num w:numId="12" w16cid:durableId="268127344">
    <w:abstractNumId w:val="25"/>
  </w:num>
  <w:num w:numId="13" w16cid:durableId="205799700">
    <w:abstractNumId w:val="2"/>
  </w:num>
  <w:num w:numId="14" w16cid:durableId="1916014010">
    <w:abstractNumId w:val="20"/>
  </w:num>
  <w:num w:numId="15" w16cid:durableId="1960987610">
    <w:abstractNumId w:val="23"/>
  </w:num>
  <w:num w:numId="16" w16cid:durableId="390495360">
    <w:abstractNumId w:val="8"/>
  </w:num>
  <w:num w:numId="17" w16cid:durableId="2054424038">
    <w:abstractNumId w:val="26"/>
  </w:num>
  <w:num w:numId="18" w16cid:durableId="1751461309">
    <w:abstractNumId w:val="33"/>
  </w:num>
  <w:num w:numId="19" w16cid:durableId="566846837">
    <w:abstractNumId w:val="24"/>
  </w:num>
  <w:num w:numId="20" w16cid:durableId="630866276">
    <w:abstractNumId w:val="12"/>
  </w:num>
  <w:num w:numId="21" w16cid:durableId="1165390992">
    <w:abstractNumId w:val="34"/>
  </w:num>
  <w:num w:numId="22" w16cid:durableId="999621080">
    <w:abstractNumId w:val="28"/>
  </w:num>
  <w:num w:numId="23" w16cid:durableId="440224565">
    <w:abstractNumId w:val="36"/>
  </w:num>
  <w:num w:numId="24" w16cid:durableId="1384985039">
    <w:abstractNumId w:val="18"/>
  </w:num>
  <w:num w:numId="25" w16cid:durableId="2015764360">
    <w:abstractNumId w:val="4"/>
  </w:num>
  <w:num w:numId="26" w16cid:durableId="1085885684">
    <w:abstractNumId w:val="14"/>
  </w:num>
  <w:num w:numId="27" w16cid:durableId="1350647154">
    <w:abstractNumId w:val="39"/>
  </w:num>
  <w:num w:numId="28" w16cid:durableId="419328994">
    <w:abstractNumId w:val="29"/>
  </w:num>
  <w:num w:numId="29" w16cid:durableId="1845125877">
    <w:abstractNumId w:val="32"/>
  </w:num>
  <w:num w:numId="30" w16cid:durableId="412630420">
    <w:abstractNumId w:val="19"/>
  </w:num>
  <w:num w:numId="31" w16cid:durableId="851185440">
    <w:abstractNumId w:val="5"/>
  </w:num>
  <w:num w:numId="32" w16cid:durableId="361172291">
    <w:abstractNumId w:val="6"/>
  </w:num>
  <w:num w:numId="33" w16cid:durableId="1572035043">
    <w:abstractNumId w:val="0"/>
  </w:num>
  <w:num w:numId="34" w16cid:durableId="2069069214">
    <w:abstractNumId w:val="30"/>
  </w:num>
  <w:num w:numId="35" w16cid:durableId="190650746">
    <w:abstractNumId w:val="37"/>
  </w:num>
  <w:num w:numId="36" w16cid:durableId="1420566380">
    <w:abstractNumId w:val="21"/>
  </w:num>
  <w:num w:numId="37" w16cid:durableId="1908803808">
    <w:abstractNumId w:val="35"/>
  </w:num>
  <w:num w:numId="38" w16cid:durableId="238557869">
    <w:abstractNumId w:val="9"/>
  </w:num>
  <w:num w:numId="39" w16cid:durableId="1706633905">
    <w:abstractNumId w:val="15"/>
  </w:num>
  <w:num w:numId="40" w16cid:durableId="2905968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5B7"/>
    <w:rsid w:val="0001576C"/>
    <w:rsid w:val="0004593A"/>
    <w:rsid w:val="00072517"/>
    <w:rsid w:val="000E7D99"/>
    <w:rsid w:val="001734BD"/>
    <w:rsid w:val="001A2587"/>
    <w:rsid w:val="001C09BE"/>
    <w:rsid w:val="001C30F9"/>
    <w:rsid w:val="002265B8"/>
    <w:rsid w:val="0025778A"/>
    <w:rsid w:val="002E3159"/>
    <w:rsid w:val="00303EA8"/>
    <w:rsid w:val="003B1D61"/>
    <w:rsid w:val="003E28C4"/>
    <w:rsid w:val="0045472F"/>
    <w:rsid w:val="004877BB"/>
    <w:rsid w:val="00570434"/>
    <w:rsid w:val="0058320B"/>
    <w:rsid w:val="00583DE7"/>
    <w:rsid w:val="005933D2"/>
    <w:rsid w:val="005A6268"/>
    <w:rsid w:val="005E5F7D"/>
    <w:rsid w:val="00615FB3"/>
    <w:rsid w:val="00643F4C"/>
    <w:rsid w:val="006B15D4"/>
    <w:rsid w:val="006B2E86"/>
    <w:rsid w:val="006E0F04"/>
    <w:rsid w:val="006E66DB"/>
    <w:rsid w:val="00711E9B"/>
    <w:rsid w:val="00723054"/>
    <w:rsid w:val="00730088"/>
    <w:rsid w:val="00812540"/>
    <w:rsid w:val="00817AC5"/>
    <w:rsid w:val="00864B88"/>
    <w:rsid w:val="008A580A"/>
    <w:rsid w:val="008D6E9C"/>
    <w:rsid w:val="009A510D"/>
    <w:rsid w:val="009E6E8F"/>
    <w:rsid w:val="00AC6761"/>
    <w:rsid w:val="00AD7D6F"/>
    <w:rsid w:val="00AE33B6"/>
    <w:rsid w:val="00B61A15"/>
    <w:rsid w:val="00B61F9E"/>
    <w:rsid w:val="00B8733B"/>
    <w:rsid w:val="00C51F10"/>
    <w:rsid w:val="00C6182F"/>
    <w:rsid w:val="00CC3E99"/>
    <w:rsid w:val="00D01705"/>
    <w:rsid w:val="00D244D1"/>
    <w:rsid w:val="00D73CA0"/>
    <w:rsid w:val="00DF1581"/>
    <w:rsid w:val="00E01720"/>
    <w:rsid w:val="00E211D7"/>
    <w:rsid w:val="00EA25B7"/>
    <w:rsid w:val="00F26AE8"/>
    <w:rsid w:val="00FC56D4"/>
    <w:rsid w:val="00FE0D5E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4BC3"/>
  <w15:chartTrackingRefBased/>
  <w15:docId w15:val="{B13BDC2A-61E5-4532-9361-BDDB2AC3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25B7"/>
  </w:style>
  <w:style w:type="paragraph" w:styleId="Nagwek1">
    <w:name w:val="heading 1"/>
    <w:basedOn w:val="Normalny"/>
    <w:link w:val="Nagwek1Znak"/>
    <w:uiPriority w:val="9"/>
    <w:qFormat/>
    <w:rsid w:val="007230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33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25B7"/>
    <w:pPr>
      <w:ind w:left="720"/>
      <w:contextualSpacing/>
    </w:pPr>
  </w:style>
  <w:style w:type="paragraph" w:customStyle="1" w:styleId="Default">
    <w:name w:val="Default"/>
    <w:rsid w:val="004877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877B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2305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39"/>
    <w:rsid w:val="00257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7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5778A"/>
  </w:style>
  <w:style w:type="character" w:styleId="Nierozpoznanawzmianka">
    <w:name w:val="Unresolved Mention"/>
    <w:basedOn w:val="Domylnaczcionkaakapitu"/>
    <w:uiPriority w:val="99"/>
    <w:semiHidden/>
    <w:unhideWhenUsed/>
    <w:rsid w:val="00E0172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5933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E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D5E"/>
  </w:style>
  <w:style w:type="paragraph" w:styleId="Stopka">
    <w:name w:val="footer"/>
    <w:basedOn w:val="Normalny"/>
    <w:link w:val="StopkaZnak"/>
    <w:uiPriority w:val="99"/>
    <w:unhideWhenUsed/>
    <w:rsid w:val="00FE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C82F9-F0A6-4DE9-9C57-DA8B6C8D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1227</Words>
  <Characters>7366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Schimanek</dc:creator>
  <cp:keywords/>
  <dc:description/>
  <cp:lastModifiedBy>Aneta Urbanek</cp:lastModifiedBy>
  <cp:revision>2</cp:revision>
  <dcterms:created xsi:type="dcterms:W3CDTF">2023-01-13T10:55:00Z</dcterms:created>
  <dcterms:modified xsi:type="dcterms:W3CDTF">2023-01-13T10:55:00Z</dcterms:modified>
</cp:coreProperties>
</file>